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AE" w:rsidRDefault="008B6CAD" w:rsidP="00E2673F">
      <w:pPr>
        <w:pStyle w:val="MainTitle"/>
        <w:rPr>
          <w:rFonts w:ascii="Verdana" w:hAnsi="Verdana"/>
          <w:lang w:val="en-US"/>
        </w:rPr>
      </w:pPr>
      <w:r>
        <w:rPr>
          <w:rFonts w:ascii="Verdana" w:hAnsi="Verdana"/>
          <w:noProof/>
        </w:rPr>
        <w:drawing>
          <wp:inline distT="0" distB="0" distL="0" distR="0">
            <wp:extent cx="5286375" cy="2619375"/>
            <wp:effectExtent l="0" t="0" r="0" b="9525"/>
            <wp:docPr id="1" name="Grafik 2" descr="ARTip_logo_no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RTip_logo_no_bor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2619375"/>
                    </a:xfrm>
                    <a:prstGeom prst="rect">
                      <a:avLst/>
                    </a:prstGeom>
                    <a:noFill/>
                    <a:ln>
                      <a:noFill/>
                    </a:ln>
                  </pic:spPr>
                </pic:pic>
              </a:graphicData>
            </a:graphic>
          </wp:inline>
        </w:drawing>
      </w:r>
    </w:p>
    <w:p w:rsidR="000F64AE" w:rsidRDefault="000F64AE" w:rsidP="00E2673F">
      <w:pPr>
        <w:pStyle w:val="MainTitle"/>
        <w:rPr>
          <w:rFonts w:ascii="Verdana" w:hAnsi="Verdana"/>
          <w:lang w:val="en-US"/>
        </w:rPr>
      </w:pPr>
    </w:p>
    <w:p w:rsidR="000F64AE" w:rsidRDefault="000F64AE" w:rsidP="00E2673F">
      <w:pPr>
        <w:pStyle w:val="MainTitle"/>
        <w:rPr>
          <w:rFonts w:ascii="Verdana" w:hAnsi="Verdana"/>
          <w:sz w:val="44"/>
          <w:lang w:val="en-US"/>
        </w:rPr>
      </w:pPr>
    </w:p>
    <w:p w:rsidR="000F64AE" w:rsidRDefault="000F64AE" w:rsidP="00E2673F">
      <w:pPr>
        <w:pStyle w:val="MainTitle"/>
        <w:rPr>
          <w:rFonts w:ascii="Verdana" w:hAnsi="Verdana"/>
          <w:sz w:val="44"/>
          <w:lang w:val="en-US"/>
        </w:rPr>
      </w:pPr>
    </w:p>
    <w:p w:rsidR="000F64AE" w:rsidRPr="004B4601" w:rsidRDefault="00D50BE8" w:rsidP="00E2673F">
      <w:pPr>
        <w:pStyle w:val="MainTitle"/>
        <w:rPr>
          <w:rFonts w:ascii="Calibri" w:hAnsi="Calibri" w:cs="Calibri"/>
          <w:color w:val="82A9D1"/>
          <w:spacing w:val="0"/>
          <w:sz w:val="44"/>
          <w:szCs w:val="44"/>
        </w:rPr>
      </w:pPr>
      <w:bookmarkStart w:id="0" w:name="_GoBack"/>
      <w:bookmarkEnd w:id="0"/>
      <w:r>
        <w:rPr>
          <w:rFonts w:ascii="Calibri" w:hAnsi="Calibri" w:cs="Calibri"/>
          <w:color w:val="82A9D1"/>
          <w:spacing w:val="0"/>
          <w:sz w:val="44"/>
          <w:szCs w:val="44"/>
        </w:rPr>
        <w:t>Ο</w:t>
      </w:r>
      <w:r w:rsidRPr="004B4601">
        <w:rPr>
          <w:rFonts w:ascii="Calibri" w:hAnsi="Calibri" w:cs="Calibri"/>
          <w:color w:val="82A9D1"/>
          <w:spacing w:val="0"/>
          <w:sz w:val="44"/>
          <w:szCs w:val="44"/>
        </w:rPr>
        <w:t xml:space="preserve"> </w:t>
      </w:r>
      <w:r>
        <w:rPr>
          <w:rFonts w:ascii="Calibri" w:hAnsi="Calibri" w:cs="Calibri"/>
          <w:color w:val="82A9D1"/>
          <w:spacing w:val="0"/>
          <w:sz w:val="44"/>
          <w:szCs w:val="44"/>
        </w:rPr>
        <w:t>ρόλος</w:t>
      </w:r>
      <w:r w:rsidRPr="004B4601">
        <w:rPr>
          <w:rFonts w:ascii="Calibri" w:hAnsi="Calibri" w:cs="Calibri"/>
          <w:color w:val="82A9D1"/>
          <w:spacing w:val="0"/>
          <w:sz w:val="44"/>
          <w:szCs w:val="44"/>
        </w:rPr>
        <w:t xml:space="preserve"> </w:t>
      </w:r>
      <w:r>
        <w:rPr>
          <w:rFonts w:ascii="Calibri" w:hAnsi="Calibri" w:cs="Calibri"/>
          <w:color w:val="82A9D1"/>
          <w:spacing w:val="0"/>
          <w:sz w:val="44"/>
          <w:szCs w:val="44"/>
        </w:rPr>
        <w:t>των</w:t>
      </w:r>
      <w:r w:rsidRPr="004B4601">
        <w:rPr>
          <w:rFonts w:ascii="Calibri" w:hAnsi="Calibri" w:cs="Calibri"/>
          <w:color w:val="82A9D1"/>
          <w:spacing w:val="0"/>
          <w:sz w:val="44"/>
          <w:szCs w:val="44"/>
        </w:rPr>
        <w:t xml:space="preserve"> </w:t>
      </w:r>
      <w:r>
        <w:rPr>
          <w:rFonts w:ascii="Calibri" w:hAnsi="Calibri" w:cs="Calibri"/>
          <w:color w:val="82A9D1"/>
          <w:spacing w:val="0"/>
          <w:sz w:val="44"/>
          <w:szCs w:val="44"/>
        </w:rPr>
        <w:t>Δικηγόρων</w:t>
      </w:r>
      <w:r w:rsidRPr="004B4601">
        <w:rPr>
          <w:rFonts w:ascii="Calibri" w:hAnsi="Calibri" w:cs="Calibri"/>
          <w:color w:val="82A9D1"/>
          <w:spacing w:val="0"/>
          <w:sz w:val="44"/>
          <w:szCs w:val="44"/>
        </w:rPr>
        <w:t xml:space="preserve"> </w:t>
      </w:r>
      <w:r>
        <w:rPr>
          <w:rFonts w:ascii="Calibri" w:hAnsi="Calibri" w:cs="Calibri"/>
          <w:color w:val="82A9D1"/>
          <w:spacing w:val="0"/>
          <w:sz w:val="44"/>
          <w:szCs w:val="44"/>
        </w:rPr>
        <w:t>στην</w:t>
      </w:r>
      <w:r w:rsidRPr="004B4601">
        <w:rPr>
          <w:rFonts w:ascii="Calibri" w:hAnsi="Calibri" w:cs="Calibri"/>
          <w:color w:val="82A9D1"/>
          <w:spacing w:val="0"/>
          <w:sz w:val="44"/>
          <w:szCs w:val="44"/>
        </w:rPr>
        <w:t xml:space="preserve"> </w:t>
      </w:r>
      <w:r>
        <w:rPr>
          <w:rFonts w:ascii="Calibri" w:hAnsi="Calibri" w:cs="Calibri"/>
          <w:color w:val="82A9D1"/>
          <w:spacing w:val="0"/>
          <w:sz w:val="44"/>
          <w:szCs w:val="44"/>
        </w:rPr>
        <w:t>πρόληψη</w:t>
      </w:r>
      <w:r w:rsidRPr="004B4601">
        <w:rPr>
          <w:rFonts w:ascii="Calibri" w:hAnsi="Calibri" w:cs="Calibri"/>
          <w:color w:val="82A9D1"/>
          <w:spacing w:val="0"/>
          <w:sz w:val="44"/>
          <w:szCs w:val="44"/>
        </w:rPr>
        <w:t xml:space="preserve"> </w:t>
      </w:r>
      <w:r>
        <w:rPr>
          <w:rFonts w:ascii="Calibri" w:hAnsi="Calibri" w:cs="Calibri"/>
          <w:color w:val="82A9D1"/>
          <w:spacing w:val="0"/>
          <w:sz w:val="44"/>
          <w:szCs w:val="44"/>
        </w:rPr>
        <w:t>των</w:t>
      </w:r>
      <w:r w:rsidRPr="004B4601">
        <w:rPr>
          <w:rFonts w:ascii="Calibri" w:hAnsi="Calibri" w:cs="Calibri"/>
          <w:color w:val="82A9D1"/>
          <w:spacing w:val="0"/>
          <w:sz w:val="44"/>
          <w:szCs w:val="44"/>
        </w:rPr>
        <w:t xml:space="preserve"> </w:t>
      </w:r>
      <w:r>
        <w:rPr>
          <w:rFonts w:ascii="Calibri" w:hAnsi="Calibri" w:cs="Calibri"/>
          <w:color w:val="82A9D1"/>
          <w:spacing w:val="0"/>
          <w:sz w:val="44"/>
          <w:szCs w:val="44"/>
        </w:rPr>
        <w:t>Βασανιστηρίων</w:t>
      </w:r>
      <w:r w:rsidRPr="004B4601">
        <w:rPr>
          <w:rFonts w:ascii="Calibri" w:hAnsi="Calibri" w:cs="Calibri"/>
          <w:color w:val="82A9D1"/>
          <w:spacing w:val="0"/>
          <w:sz w:val="44"/>
          <w:szCs w:val="44"/>
        </w:rPr>
        <w:t xml:space="preserve"> </w:t>
      </w:r>
      <w:r>
        <w:rPr>
          <w:rFonts w:ascii="Calibri" w:hAnsi="Calibri" w:cs="Calibri"/>
          <w:color w:val="82A9D1"/>
          <w:spacing w:val="0"/>
          <w:sz w:val="44"/>
          <w:szCs w:val="44"/>
        </w:rPr>
        <w:t>και</w:t>
      </w:r>
      <w:r w:rsidRPr="004B4601">
        <w:rPr>
          <w:rFonts w:ascii="Calibri" w:hAnsi="Calibri" w:cs="Calibri"/>
          <w:color w:val="82A9D1"/>
          <w:spacing w:val="0"/>
          <w:sz w:val="44"/>
          <w:szCs w:val="44"/>
        </w:rPr>
        <w:t xml:space="preserve"> </w:t>
      </w:r>
      <w:r>
        <w:rPr>
          <w:rFonts w:ascii="Calibri" w:hAnsi="Calibri" w:cs="Calibri"/>
          <w:color w:val="82A9D1"/>
          <w:spacing w:val="0"/>
          <w:sz w:val="44"/>
          <w:szCs w:val="44"/>
        </w:rPr>
        <w:t>της</w:t>
      </w:r>
      <w:r w:rsidRPr="004B4601">
        <w:rPr>
          <w:rFonts w:ascii="Calibri" w:hAnsi="Calibri" w:cs="Calibri"/>
          <w:color w:val="82A9D1"/>
          <w:spacing w:val="0"/>
          <w:sz w:val="44"/>
          <w:szCs w:val="44"/>
        </w:rPr>
        <w:t xml:space="preserve"> </w:t>
      </w:r>
      <w:r w:rsidR="004B4601">
        <w:rPr>
          <w:rFonts w:ascii="Calibri" w:hAnsi="Calibri" w:cs="Calibri"/>
          <w:color w:val="82A9D1"/>
          <w:spacing w:val="0"/>
          <w:sz w:val="44"/>
          <w:szCs w:val="44"/>
        </w:rPr>
        <w:t>Κακής Μ</w:t>
      </w:r>
      <w:r>
        <w:rPr>
          <w:rFonts w:ascii="Calibri" w:hAnsi="Calibri" w:cs="Calibri"/>
          <w:color w:val="82A9D1"/>
          <w:spacing w:val="0"/>
          <w:sz w:val="44"/>
          <w:szCs w:val="44"/>
        </w:rPr>
        <w:t>εταχείρισης</w:t>
      </w:r>
    </w:p>
    <w:p w:rsidR="000F64AE" w:rsidRPr="004B4601" w:rsidRDefault="000F64AE" w:rsidP="00E2673F">
      <w:pPr>
        <w:pStyle w:val="MainTitle"/>
        <w:rPr>
          <w:rFonts w:ascii="Verdana" w:hAnsi="Verdana"/>
          <w:color w:val="000000"/>
          <w:sz w:val="52"/>
        </w:rPr>
      </w:pPr>
    </w:p>
    <w:p w:rsidR="000F64AE" w:rsidRPr="004B4601" w:rsidRDefault="000F64AE" w:rsidP="00E2673F">
      <w:pPr>
        <w:pStyle w:val="MainTitle"/>
        <w:rPr>
          <w:rFonts w:ascii="Verdana" w:hAnsi="Verdana"/>
          <w:color w:val="000000"/>
          <w:sz w:val="52"/>
        </w:rPr>
      </w:pPr>
    </w:p>
    <w:p w:rsidR="000F64AE" w:rsidRPr="004B4601" w:rsidRDefault="000F64AE" w:rsidP="00E2673F">
      <w:pPr>
        <w:pStyle w:val="MainTitle"/>
        <w:rPr>
          <w:rFonts w:ascii="Verdana" w:hAnsi="Verdana"/>
          <w:color w:val="000000"/>
          <w:sz w:val="52"/>
        </w:rPr>
      </w:pPr>
    </w:p>
    <w:p w:rsidR="000F64AE" w:rsidRPr="004B4601" w:rsidRDefault="000F64AE" w:rsidP="00E2673F">
      <w:pPr>
        <w:pStyle w:val="MainTitle"/>
        <w:rPr>
          <w:rFonts w:ascii="Verdana" w:hAnsi="Verdana"/>
          <w:color w:val="000000"/>
          <w:sz w:val="52"/>
        </w:rPr>
      </w:pPr>
    </w:p>
    <w:p w:rsidR="000F64AE" w:rsidRPr="004B4601" w:rsidRDefault="000F64AE" w:rsidP="00E2673F">
      <w:pPr>
        <w:spacing w:before="0" w:after="0" w:line="240" w:lineRule="auto"/>
        <w:rPr>
          <w:rFonts w:ascii="Verdana" w:hAnsi="Verdana"/>
          <w:color w:val="000000"/>
          <w:sz w:val="52"/>
        </w:rPr>
        <w:sectPr w:rsidR="000F64AE" w:rsidRPr="004B4601" w:rsidSect="00F54D6C">
          <w:footerReference w:type="default" r:id="rId9"/>
          <w:pgSz w:w="11906" w:h="16838"/>
          <w:pgMar w:top="1438" w:right="1134" w:bottom="1797" w:left="1134" w:header="709" w:footer="709" w:gutter="0"/>
          <w:cols w:space="708"/>
          <w:titlePg/>
          <w:docGrid w:linePitch="360"/>
        </w:sectPr>
      </w:pPr>
    </w:p>
    <w:p w:rsidR="000F64AE" w:rsidRPr="00F86E76" w:rsidRDefault="000F7226" w:rsidP="00E2673F">
      <w:pPr>
        <w:pStyle w:val="MainTitle"/>
        <w:rPr>
          <w:rFonts w:ascii="Verdana" w:hAnsi="Verdana"/>
          <w:color w:val="D9D9D9"/>
          <w:sz w:val="52"/>
        </w:rPr>
      </w:pPr>
      <w:r w:rsidRPr="00A26700">
        <w:rPr>
          <w:rFonts w:ascii="Calibri" w:hAnsi="Calibri" w:cs="Calibri"/>
          <w:b w:val="0"/>
          <w:color w:val="D9D9D9"/>
          <w:sz w:val="36"/>
        </w:rPr>
        <w:lastRenderedPageBreak/>
        <w:t>[</w:t>
      </w:r>
      <w:r>
        <w:rPr>
          <w:rFonts w:ascii="Calibri" w:hAnsi="Calibri" w:cs="Calibri"/>
          <w:b w:val="0"/>
          <w:color w:val="D9D9D9"/>
          <w:sz w:val="36"/>
        </w:rPr>
        <w:t>σελίδα</w:t>
      </w:r>
      <w:r w:rsidRPr="00A26700">
        <w:rPr>
          <w:rFonts w:ascii="Calibri" w:hAnsi="Calibri" w:cs="Calibri"/>
          <w:b w:val="0"/>
          <w:color w:val="D9D9D9"/>
          <w:sz w:val="36"/>
        </w:rPr>
        <w:t xml:space="preserve"> </w:t>
      </w:r>
      <w:r>
        <w:rPr>
          <w:rFonts w:ascii="Calibri" w:hAnsi="Calibri" w:cs="Calibri"/>
          <w:b w:val="0"/>
          <w:color w:val="D9D9D9"/>
          <w:sz w:val="36"/>
        </w:rPr>
        <w:t>σκοπίμως</w:t>
      </w:r>
      <w:r w:rsidRPr="00A26700">
        <w:rPr>
          <w:rFonts w:ascii="Calibri" w:hAnsi="Calibri" w:cs="Calibri"/>
          <w:b w:val="0"/>
          <w:color w:val="D9D9D9"/>
          <w:sz w:val="36"/>
        </w:rPr>
        <w:t xml:space="preserve"> </w:t>
      </w:r>
      <w:r>
        <w:rPr>
          <w:rFonts w:ascii="Calibri" w:hAnsi="Calibri" w:cs="Calibri"/>
          <w:b w:val="0"/>
          <w:color w:val="D9D9D9"/>
          <w:sz w:val="36"/>
        </w:rPr>
        <w:t>αφημένη</w:t>
      </w:r>
      <w:r w:rsidRPr="00A26700">
        <w:rPr>
          <w:rFonts w:ascii="Calibri" w:hAnsi="Calibri" w:cs="Calibri"/>
          <w:b w:val="0"/>
          <w:color w:val="D9D9D9"/>
          <w:sz w:val="36"/>
        </w:rPr>
        <w:t xml:space="preserve"> </w:t>
      </w:r>
      <w:r>
        <w:rPr>
          <w:rFonts w:ascii="Calibri" w:hAnsi="Calibri" w:cs="Calibri"/>
          <w:b w:val="0"/>
          <w:color w:val="D9D9D9"/>
          <w:sz w:val="36"/>
        </w:rPr>
        <w:t>κενή</w:t>
      </w:r>
      <w:r w:rsidRPr="00A26700">
        <w:rPr>
          <w:rFonts w:ascii="Calibri" w:hAnsi="Calibri" w:cs="Calibri"/>
          <w:b w:val="0"/>
          <w:color w:val="D9D9D9"/>
          <w:sz w:val="36"/>
        </w:rPr>
        <w:t>]</w:t>
      </w:r>
      <w:r w:rsidR="000F64AE" w:rsidRPr="00F86E76">
        <w:rPr>
          <w:rFonts w:ascii="Verdana" w:hAnsi="Verdana"/>
          <w:color w:val="D9D9D9"/>
          <w:sz w:val="52"/>
        </w:rPr>
        <w:br w:type="page"/>
      </w: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64AE" w:rsidRPr="00F86E76" w:rsidRDefault="000F64AE" w:rsidP="00E2673F">
      <w:pPr>
        <w:jc w:val="center"/>
        <w:rPr>
          <w:sz w:val="20"/>
          <w:szCs w:val="20"/>
        </w:rPr>
      </w:pPr>
    </w:p>
    <w:p w:rsidR="000F7226" w:rsidRPr="00A26700" w:rsidRDefault="000F7226" w:rsidP="000F7226">
      <w:pPr>
        <w:jc w:val="center"/>
        <w:rPr>
          <w:sz w:val="20"/>
          <w:szCs w:val="20"/>
        </w:rPr>
      </w:pPr>
      <w:r>
        <w:rPr>
          <w:sz w:val="20"/>
          <w:szCs w:val="20"/>
        </w:rPr>
        <w:t>Για το έργο αυτό έχει δοθεί άδεια από την</w:t>
      </w:r>
    </w:p>
    <w:p w:rsidR="000F64AE" w:rsidRPr="005816B9" w:rsidRDefault="00EF0E25" w:rsidP="00E2673F">
      <w:pPr>
        <w:jc w:val="center"/>
        <w:rPr>
          <w:sz w:val="20"/>
          <w:szCs w:val="20"/>
          <w:lang w:val="en-US"/>
        </w:rPr>
      </w:pPr>
      <w:hyperlink r:id="rId10" w:history="1">
        <w:r w:rsidR="000F64AE" w:rsidRPr="005816B9">
          <w:rPr>
            <w:rStyle w:val="Hyperlink"/>
            <w:sz w:val="20"/>
            <w:szCs w:val="20"/>
            <w:lang w:val="en-US"/>
          </w:rPr>
          <w:t>Creative Commons Attribution-</w:t>
        </w:r>
      </w:hyperlink>
      <w:hyperlink r:id="rId11" w:history="1">
        <w:r w:rsidR="000F64AE" w:rsidRPr="005816B9">
          <w:rPr>
            <w:rStyle w:val="Hyperlink"/>
            <w:sz w:val="20"/>
            <w:szCs w:val="20"/>
            <w:lang w:val="en-US"/>
          </w:rPr>
          <w:t>NonCommercial</w:t>
        </w:r>
      </w:hyperlink>
      <w:hyperlink r:id="rId12" w:history="1">
        <w:r w:rsidR="000F64AE" w:rsidRPr="005816B9">
          <w:rPr>
            <w:rStyle w:val="Hyperlink"/>
            <w:sz w:val="20"/>
            <w:szCs w:val="20"/>
            <w:lang w:val="en-US"/>
          </w:rPr>
          <w:t>-</w:t>
        </w:r>
      </w:hyperlink>
      <w:hyperlink r:id="rId13" w:history="1">
        <w:r w:rsidR="000F64AE" w:rsidRPr="005816B9">
          <w:rPr>
            <w:rStyle w:val="Hyperlink"/>
            <w:sz w:val="20"/>
            <w:szCs w:val="20"/>
            <w:lang w:val="en-US"/>
          </w:rPr>
          <w:t>NoDerivs</w:t>
        </w:r>
      </w:hyperlink>
      <w:hyperlink r:id="rId14" w:history="1">
        <w:r w:rsidR="000F64AE" w:rsidRPr="005816B9">
          <w:rPr>
            <w:rStyle w:val="Hyperlink"/>
            <w:sz w:val="20"/>
            <w:szCs w:val="20"/>
            <w:lang w:val="en-US"/>
          </w:rPr>
          <w:t xml:space="preserve"> 3.0 </w:t>
        </w:r>
      </w:hyperlink>
      <w:hyperlink r:id="rId15" w:history="1">
        <w:r w:rsidR="000F64AE" w:rsidRPr="005816B9">
          <w:rPr>
            <w:rStyle w:val="Hyperlink"/>
            <w:sz w:val="20"/>
            <w:szCs w:val="20"/>
            <w:lang w:val="en-US"/>
          </w:rPr>
          <w:t>Unported</w:t>
        </w:r>
      </w:hyperlink>
      <w:hyperlink r:id="rId16" w:history="1">
        <w:r w:rsidR="000F64AE" w:rsidRPr="005816B9">
          <w:rPr>
            <w:rStyle w:val="Hyperlink"/>
            <w:sz w:val="20"/>
            <w:szCs w:val="20"/>
            <w:lang w:val="en-US"/>
          </w:rPr>
          <w:t xml:space="preserve"> License</w:t>
        </w:r>
      </w:hyperlink>
      <w:r w:rsidR="000F64AE" w:rsidRPr="005816B9">
        <w:rPr>
          <w:sz w:val="20"/>
          <w:szCs w:val="20"/>
          <w:lang w:val="en-US"/>
        </w:rPr>
        <w:t>.</w:t>
      </w:r>
    </w:p>
    <w:p w:rsidR="000F64AE" w:rsidRPr="00D66FAF" w:rsidRDefault="008B6CAD" w:rsidP="00E2673F">
      <w:pPr>
        <w:jc w:val="center"/>
        <w:rPr>
          <w:highlight w:val="yellow"/>
        </w:rPr>
      </w:pPr>
      <w:r>
        <w:rPr>
          <w:noProof/>
        </w:rPr>
        <w:drawing>
          <wp:inline distT="0" distB="0" distL="0" distR="0">
            <wp:extent cx="1495425" cy="523875"/>
            <wp:effectExtent l="0" t="0" r="9525" b="9525"/>
            <wp:docPr id="2" name="Grafik 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p w:rsidR="000F64AE" w:rsidRPr="005816B9" w:rsidRDefault="000F64AE" w:rsidP="00E2673F">
      <w:pPr>
        <w:jc w:val="center"/>
        <w:rPr>
          <w:i/>
          <w:iCs/>
          <w:sz w:val="18"/>
          <w:szCs w:val="18"/>
          <w:lang w:val="en-US"/>
        </w:rPr>
      </w:pPr>
    </w:p>
    <w:p w:rsidR="000F7226" w:rsidRPr="00236203" w:rsidRDefault="000F7226" w:rsidP="000F7226">
      <w:pPr>
        <w:jc w:val="center"/>
        <w:rPr>
          <w:sz w:val="20"/>
          <w:szCs w:val="20"/>
        </w:rPr>
      </w:pPr>
      <w:r w:rsidRPr="00A26700">
        <w:rPr>
          <w:i/>
          <w:iCs/>
          <w:sz w:val="20"/>
          <w:szCs w:val="20"/>
        </w:rPr>
        <w:t xml:space="preserve">Αυτό το πρόγραμμα έχει χρηματοδοτηθεί με την υποστήριξη της Ευρωπαϊκής Επιτροπής. Η </w:t>
      </w:r>
      <w:r w:rsidRPr="00236203">
        <w:rPr>
          <w:i/>
          <w:iCs/>
          <w:sz w:val="20"/>
          <w:szCs w:val="20"/>
        </w:rPr>
        <w:t>ανακοίνωση</w:t>
      </w:r>
      <w:r w:rsidRPr="00A26700">
        <w:rPr>
          <w:i/>
          <w:iCs/>
          <w:sz w:val="20"/>
          <w:szCs w:val="20"/>
        </w:rPr>
        <w:t xml:space="preserve"> αυτή αντανακλά μόνο τις απόψεις του συντάκτη (ες), και η Επιτροπή δεν μπορεί να θεωρηθεί υπεύθυνη για οποιαδήποτε </w:t>
      </w:r>
      <w:r>
        <w:rPr>
          <w:i/>
          <w:iCs/>
          <w:sz w:val="20"/>
          <w:szCs w:val="20"/>
        </w:rPr>
        <w:t xml:space="preserve">ενδεχόμενη </w:t>
      </w:r>
      <w:r w:rsidRPr="00A26700">
        <w:rPr>
          <w:i/>
          <w:iCs/>
          <w:sz w:val="20"/>
          <w:szCs w:val="20"/>
        </w:rPr>
        <w:t>χρήση των πληροφοριών που περιέχονται σε αυτήν.</w:t>
      </w:r>
      <w:r>
        <w:rPr>
          <w:i/>
          <w:iCs/>
          <w:sz w:val="20"/>
          <w:szCs w:val="20"/>
        </w:rPr>
        <w:t xml:space="preserve"> </w:t>
      </w:r>
    </w:p>
    <w:p w:rsidR="000F64AE" w:rsidRPr="000F7226" w:rsidRDefault="008B6CAD" w:rsidP="00E2673F">
      <w:r>
        <w:rPr>
          <w:noProof/>
        </w:rPr>
        <w:drawing>
          <wp:anchor distT="0" distB="0" distL="114300" distR="114300" simplePos="0" relativeHeight="251657728" behindDoc="1" locked="0" layoutInCell="1" allowOverlap="1">
            <wp:simplePos x="0" y="0"/>
            <wp:positionH relativeFrom="column">
              <wp:posOffset>1721485</wp:posOffset>
            </wp:positionH>
            <wp:positionV relativeFrom="paragraph">
              <wp:posOffset>62230</wp:posOffset>
            </wp:positionV>
            <wp:extent cx="2400300" cy="969645"/>
            <wp:effectExtent l="0" t="0" r="0" b="1905"/>
            <wp:wrapTight wrapText="bothSides">
              <wp:wrapPolygon edited="0">
                <wp:start x="0" y="0"/>
                <wp:lineTo x="0" y="21218"/>
                <wp:lineTo x="21429" y="21218"/>
                <wp:lineTo x="21429" y="0"/>
                <wp:lineTo x="0" y="0"/>
              </wp:wrapPolygon>
            </wp:wrapTight>
            <wp:docPr id="3" name="Grafik 3" descr="LLP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LP logo english"/>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969645"/>
                    </a:xfrm>
                    <a:prstGeom prst="rect">
                      <a:avLst/>
                    </a:prstGeom>
                    <a:noFill/>
                  </pic:spPr>
                </pic:pic>
              </a:graphicData>
            </a:graphic>
          </wp:anchor>
        </w:drawing>
      </w:r>
    </w:p>
    <w:p w:rsidR="000F64AE" w:rsidRPr="000F7226" w:rsidRDefault="000F64AE" w:rsidP="00E2673F"/>
    <w:p w:rsidR="000F64AE" w:rsidRPr="000F7226" w:rsidRDefault="000F64AE" w:rsidP="00E2673F"/>
    <w:p w:rsidR="000F7226" w:rsidRPr="00A26700" w:rsidRDefault="000F7226" w:rsidP="000F7226">
      <w:pPr>
        <w:pStyle w:val="MainTitle"/>
        <w:rPr>
          <w:rFonts w:ascii="Calibri" w:hAnsi="Calibri" w:cs="Calibri"/>
          <w:b w:val="0"/>
          <w:color w:val="D9D9D9"/>
          <w:sz w:val="36"/>
        </w:rPr>
      </w:pPr>
      <w:r w:rsidRPr="00A26700">
        <w:rPr>
          <w:rFonts w:ascii="Calibri" w:hAnsi="Calibri" w:cs="Calibri"/>
          <w:b w:val="0"/>
          <w:color w:val="D9D9D9"/>
          <w:sz w:val="36"/>
        </w:rPr>
        <w:lastRenderedPageBreak/>
        <w:t>[</w:t>
      </w:r>
      <w:r>
        <w:rPr>
          <w:rFonts w:ascii="Calibri" w:hAnsi="Calibri" w:cs="Calibri"/>
          <w:b w:val="0"/>
          <w:color w:val="D9D9D9"/>
          <w:sz w:val="36"/>
        </w:rPr>
        <w:t>σελίδα</w:t>
      </w:r>
      <w:r w:rsidRPr="00A26700">
        <w:rPr>
          <w:rFonts w:ascii="Calibri" w:hAnsi="Calibri" w:cs="Calibri"/>
          <w:b w:val="0"/>
          <w:color w:val="D9D9D9"/>
          <w:sz w:val="36"/>
        </w:rPr>
        <w:t xml:space="preserve"> </w:t>
      </w:r>
      <w:r>
        <w:rPr>
          <w:rFonts w:ascii="Calibri" w:hAnsi="Calibri" w:cs="Calibri"/>
          <w:b w:val="0"/>
          <w:color w:val="D9D9D9"/>
          <w:sz w:val="36"/>
        </w:rPr>
        <w:t>σκοπίμως</w:t>
      </w:r>
      <w:r w:rsidRPr="00A26700">
        <w:rPr>
          <w:rFonts w:ascii="Calibri" w:hAnsi="Calibri" w:cs="Calibri"/>
          <w:b w:val="0"/>
          <w:color w:val="D9D9D9"/>
          <w:sz w:val="36"/>
        </w:rPr>
        <w:t xml:space="preserve"> </w:t>
      </w:r>
      <w:r>
        <w:rPr>
          <w:rFonts w:ascii="Calibri" w:hAnsi="Calibri" w:cs="Calibri"/>
          <w:b w:val="0"/>
          <w:color w:val="D9D9D9"/>
          <w:sz w:val="36"/>
        </w:rPr>
        <w:t>αφημένη</w:t>
      </w:r>
      <w:r w:rsidRPr="00A26700">
        <w:rPr>
          <w:rFonts w:ascii="Calibri" w:hAnsi="Calibri" w:cs="Calibri"/>
          <w:b w:val="0"/>
          <w:color w:val="D9D9D9"/>
          <w:sz w:val="36"/>
        </w:rPr>
        <w:t xml:space="preserve"> </w:t>
      </w:r>
      <w:r>
        <w:rPr>
          <w:rFonts w:ascii="Calibri" w:hAnsi="Calibri" w:cs="Calibri"/>
          <w:b w:val="0"/>
          <w:color w:val="D9D9D9"/>
          <w:sz w:val="36"/>
        </w:rPr>
        <w:t>κενή</w:t>
      </w:r>
      <w:r w:rsidRPr="00A26700">
        <w:rPr>
          <w:rFonts w:ascii="Calibri" w:hAnsi="Calibri" w:cs="Calibri"/>
          <w:b w:val="0"/>
          <w:color w:val="D9D9D9"/>
          <w:sz w:val="36"/>
        </w:rPr>
        <w:t>]</w:t>
      </w:r>
    </w:p>
    <w:p w:rsidR="000F64AE" w:rsidRPr="00873B1D" w:rsidRDefault="000F64AE" w:rsidP="00E2673F">
      <w:pPr>
        <w:spacing w:before="0" w:after="0" w:line="240" w:lineRule="auto"/>
        <w:rPr>
          <w:rFonts w:ascii="Verdana" w:hAnsi="Verdana"/>
          <w:color w:val="000000"/>
          <w:sz w:val="52"/>
        </w:rPr>
      </w:pPr>
    </w:p>
    <w:p w:rsidR="000F64AE" w:rsidRPr="00873B1D" w:rsidRDefault="000F64AE" w:rsidP="00E2673F">
      <w:pPr>
        <w:spacing w:before="0" w:after="0" w:line="240" w:lineRule="auto"/>
        <w:rPr>
          <w:rFonts w:ascii="Verdana" w:hAnsi="Verdana"/>
          <w:color w:val="000000"/>
          <w:sz w:val="52"/>
        </w:rPr>
        <w:sectPr w:rsidR="000F64AE" w:rsidRPr="00873B1D" w:rsidSect="00F54D6C">
          <w:footerReference w:type="default" r:id="rId20"/>
          <w:pgSz w:w="11906" w:h="16838"/>
          <w:pgMar w:top="1438" w:right="1134" w:bottom="1797" w:left="1134" w:header="709" w:footer="709" w:gutter="0"/>
          <w:cols w:space="708"/>
          <w:docGrid w:linePitch="360"/>
        </w:sectPr>
      </w:pPr>
    </w:p>
    <w:p w:rsidR="00873B1D" w:rsidRPr="00A26700" w:rsidRDefault="00873B1D" w:rsidP="00873B1D">
      <w:pPr>
        <w:pStyle w:val="StyleTitleTOC"/>
        <w:rPr>
          <w:sz w:val="32"/>
          <w:szCs w:val="32"/>
        </w:rPr>
      </w:pPr>
      <w:r>
        <w:rPr>
          <w:sz w:val="32"/>
          <w:szCs w:val="32"/>
        </w:rPr>
        <w:lastRenderedPageBreak/>
        <w:t>ΠΙΝΑΚΑΣ ΠΕΡΙΕΧΟΜΕΝΩΝ</w:t>
      </w:r>
    </w:p>
    <w:p w:rsidR="000F64AE" w:rsidRPr="00873B1D" w:rsidRDefault="000F64AE" w:rsidP="00E2673F"/>
    <w:p w:rsidR="002316E4" w:rsidRDefault="007174B3">
      <w:pPr>
        <w:pStyle w:val="TOC1"/>
        <w:tabs>
          <w:tab w:val="left" w:pos="660"/>
          <w:tab w:val="right" w:leader="dot" w:pos="9062"/>
        </w:tabs>
        <w:rPr>
          <w:rFonts w:asciiTheme="minorHAnsi" w:eastAsiaTheme="minorEastAsia" w:hAnsiTheme="minorHAnsi" w:cstheme="minorBidi"/>
          <w:b w:val="0"/>
          <w:bCs w:val="0"/>
          <w:noProof/>
          <w:color w:val="auto"/>
          <w:szCs w:val="22"/>
          <w:lang w:val="de-AT" w:eastAsia="de-AT"/>
        </w:rPr>
      </w:pPr>
      <w:r w:rsidRPr="006E686D">
        <w:rPr>
          <w:rFonts w:ascii="Verdana" w:hAnsi="Verdana"/>
          <w:color w:val="auto"/>
          <w:lang w:val="en-US"/>
        </w:rPr>
        <w:fldChar w:fldCharType="begin"/>
      </w:r>
      <w:r w:rsidR="000F64AE" w:rsidRPr="006E686D">
        <w:rPr>
          <w:rFonts w:ascii="Verdana" w:hAnsi="Verdana"/>
          <w:color w:val="auto"/>
          <w:lang w:val="en-US"/>
        </w:rPr>
        <w:instrText xml:space="preserve"> TOC \o "1-3" \h \z \u </w:instrText>
      </w:r>
      <w:r w:rsidRPr="006E686D">
        <w:rPr>
          <w:rFonts w:ascii="Verdana" w:hAnsi="Verdana"/>
          <w:color w:val="auto"/>
          <w:lang w:val="en-US"/>
        </w:rPr>
        <w:fldChar w:fldCharType="separate"/>
      </w:r>
      <w:hyperlink w:anchor="_Toc345940054" w:history="1">
        <w:r w:rsidR="002316E4" w:rsidRPr="00B54044">
          <w:rPr>
            <w:rStyle w:val="Hyperlink"/>
            <w:noProof/>
          </w:rPr>
          <w:t>1.</w:t>
        </w:r>
        <w:r w:rsidR="002316E4">
          <w:rPr>
            <w:rFonts w:asciiTheme="minorHAnsi" w:eastAsiaTheme="minorEastAsia" w:hAnsiTheme="minorHAnsi" w:cstheme="minorBidi"/>
            <w:b w:val="0"/>
            <w:bCs w:val="0"/>
            <w:noProof/>
            <w:color w:val="auto"/>
            <w:szCs w:val="22"/>
            <w:lang w:val="de-AT" w:eastAsia="de-AT"/>
          </w:rPr>
          <w:tab/>
        </w:r>
        <w:r w:rsidR="00873B1D">
          <w:rPr>
            <w:rStyle w:val="Hyperlink"/>
            <w:noProof/>
          </w:rPr>
          <w:t>Εισαγωγή</w:t>
        </w:r>
        <w:r w:rsidR="002316E4">
          <w:rPr>
            <w:noProof/>
            <w:webHidden/>
          </w:rPr>
          <w:tab/>
        </w:r>
        <w:r>
          <w:rPr>
            <w:noProof/>
            <w:webHidden/>
          </w:rPr>
          <w:fldChar w:fldCharType="begin"/>
        </w:r>
        <w:r w:rsidR="002316E4">
          <w:rPr>
            <w:noProof/>
            <w:webHidden/>
          </w:rPr>
          <w:instrText xml:space="preserve"> PAGEREF _Toc345940054 \h </w:instrText>
        </w:r>
        <w:r>
          <w:rPr>
            <w:noProof/>
            <w:webHidden/>
          </w:rPr>
          <w:fldChar w:fldCharType="separate"/>
        </w:r>
        <w:r w:rsidR="002E2529">
          <w:rPr>
            <w:b w:val="0"/>
            <w:bCs w:val="0"/>
            <w:noProof/>
            <w:webHidden/>
            <w:lang w:val="en-US"/>
          </w:rPr>
          <w:t>Error! Bookmark not defined.</w:t>
        </w:r>
        <w:r>
          <w:rPr>
            <w:noProof/>
            <w:webHidden/>
          </w:rPr>
          <w:fldChar w:fldCharType="end"/>
        </w:r>
      </w:hyperlink>
    </w:p>
    <w:p w:rsidR="002316E4" w:rsidRDefault="00EF0E25">
      <w:pPr>
        <w:pStyle w:val="TOC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55" w:history="1">
        <w:r w:rsidR="002316E4" w:rsidRPr="00B54044">
          <w:rPr>
            <w:rStyle w:val="Hyperlink"/>
            <w:noProof/>
            <w:lang w:val="en-GB" w:eastAsia="de-DE"/>
          </w:rPr>
          <w:t>2.</w:t>
        </w:r>
        <w:r w:rsidR="002316E4">
          <w:rPr>
            <w:rFonts w:asciiTheme="minorHAnsi" w:eastAsiaTheme="minorEastAsia" w:hAnsiTheme="minorHAnsi" w:cstheme="minorBidi"/>
            <w:b w:val="0"/>
            <w:bCs w:val="0"/>
            <w:noProof/>
            <w:color w:val="auto"/>
            <w:szCs w:val="22"/>
            <w:lang w:val="de-AT" w:eastAsia="de-AT"/>
          </w:rPr>
          <w:tab/>
        </w:r>
        <w:r w:rsidR="00873B1D">
          <w:rPr>
            <w:rStyle w:val="Hyperlink"/>
            <w:noProof/>
          </w:rPr>
          <w:t>Νομικό Πλαίσιο</w:t>
        </w:r>
        <w:r w:rsidR="002316E4">
          <w:rPr>
            <w:noProof/>
            <w:webHidden/>
          </w:rPr>
          <w:tab/>
        </w:r>
        <w:r w:rsidR="007174B3">
          <w:rPr>
            <w:noProof/>
            <w:webHidden/>
          </w:rPr>
          <w:fldChar w:fldCharType="begin"/>
        </w:r>
        <w:r w:rsidR="002316E4">
          <w:rPr>
            <w:noProof/>
            <w:webHidden/>
          </w:rPr>
          <w:instrText xml:space="preserve"> PAGEREF _Toc345940055 \h </w:instrText>
        </w:r>
        <w:r w:rsidR="007174B3">
          <w:rPr>
            <w:noProof/>
            <w:webHidden/>
          </w:rPr>
          <w:fldChar w:fldCharType="separate"/>
        </w:r>
        <w:r w:rsidR="002E2529">
          <w:rPr>
            <w:b w:val="0"/>
            <w:bCs w:val="0"/>
            <w:noProof/>
            <w:webHidden/>
            <w:lang w:val="en-US"/>
          </w:rPr>
          <w:t>Error! Bookmark not defined.</w:t>
        </w:r>
        <w:r w:rsidR="007174B3">
          <w:rPr>
            <w:noProof/>
            <w:webHidden/>
          </w:rPr>
          <w:fldChar w:fldCharType="end"/>
        </w:r>
      </w:hyperlink>
    </w:p>
    <w:p w:rsidR="002316E4" w:rsidRDefault="00EF0E25">
      <w:pPr>
        <w:pStyle w:val="TOC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56" w:history="1">
        <w:r w:rsidR="002316E4" w:rsidRPr="00B54044">
          <w:rPr>
            <w:rStyle w:val="Hyperlink"/>
            <w:noProof/>
          </w:rPr>
          <w:t>3.</w:t>
        </w:r>
        <w:r w:rsidR="002316E4">
          <w:rPr>
            <w:rFonts w:asciiTheme="minorHAnsi" w:eastAsiaTheme="minorEastAsia" w:hAnsiTheme="minorHAnsi" w:cstheme="minorBidi"/>
            <w:b w:val="0"/>
            <w:bCs w:val="0"/>
            <w:noProof/>
            <w:color w:val="auto"/>
            <w:szCs w:val="22"/>
            <w:lang w:val="de-AT" w:eastAsia="de-AT"/>
          </w:rPr>
          <w:tab/>
        </w:r>
        <w:r w:rsidR="00873B1D" w:rsidRPr="00873B1D">
          <w:rPr>
            <w:rStyle w:val="Hyperlink"/>
            <w:noProof/>
          </w:rPr>
          <w:t>Εκπροσώπηση των Κρατουμένων</w:t>
        </w:r>
        <w:r w:rsidR="002316E4">
          <w:rPr>
            <w:noProof/>
            <w:webHidden/>
          </w:rPr>
          <w:tab/>
        </w:r>
        <w:r w:rsidR="007174B3">
          <w:rPr>
            <w:noProof/>
            <w:webHidden/>
          </w:rPr>
          <w:fldChar w:fldCharType="begin"/>
        </w:r>
        <w:r w:rsidR="002316E4">
          <w:rPr>
            <w:noProof/>
            <w:webHidden/>
          </w:rPr>
          <w:instrText xml:space="preserve"> PAGEREF _Toc345940056 \h </w:instrText>
        </w:r>
        <w:r w:rsidR="007174B3">
          <w:rPr>
            <w:noProof/>
            <w:webHidden/>
          </w:rPr>
          <w:fldChar w:fldCharType="separate"/>
        </w:r>
        <w:r w:rsidR="002E2529">
          <w:rPr>
            <w:b w:val="0"/>
            <w:bCs w:val="0"/>
            <w:noProof/>
            <w:webHidden/>
            <w:lang w:val="en-US"/>
          </w:rPr>
          <w:t>Error! Bookmark not defined.</w:t>
        </w:r>
        <w:r w:rsidR="007174B3">
          <w:rPr>
            <w:noProof/>
            <w:webHidden/>
          </w:rPr>
          <w:fldChar w:fldCharType="end"/>
        </w:r>
      </w:hyperlink>
    </w:p>
    <w:p w:rsidR="002316E4" w:rsidRDefault="00EF0E25">
      <w:pPr>
        <w:pStyle w:val="TOC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57" w:history="1">
        <w:r w:rsidR="002316E4" w:rsidRPr="00B54044">
          <w:rPr>
            <w:rStyle w:val="Hyperlink"/>
            <w:noProof/>
          </w:rPr>
          <w:t>4.</w:t>
        </w:r>
        <w:r w:rsidR="002316E4">
          <w:rPr>
            <w:rFonts w:asciiTheme="minorHAnsi" w:eastAsiaTheme="minorEastAsia" w:hAnsiTheme="minorHAnsi" w:cstheme="minorBidi"/>
            <w:b w:val="0"/>
            <w:bCs w:val="0"/>
            <w:noProof/>
            <w:color w:val="auto"/>
            <w:szCs w:val="22"/>
            <w:lang w:val="de-AT" w:eastAsia="de-AT"/>
          </w:rPr>
          <w:tab/>
        </w:r>
        <w:r w:rsidR="00873B1D" w:rsidRPr="00873B1D">
          <w:rPr>
            <w:rStyle w:val="Hyperlink"/>
            <w:noProof/>
          </w:rPr>
          <w:t>Δικαίωμα στην θεραπεία και την αποκατάσταση</w:t>
        </w:r>
        <w:r w:rsidR="002316E4">
          <w:rPr>
            <w:noProof/>
            <w:webHidden/>
          </w:rPr>
          <w:tab/>
        </w:r>
        <w:r w:rsidR="007174B3">
          <w:rPr>
            <w:noProof/>
            <w:webHidden/>
          </w:rPr>
          <w:fldChar w:fldCharType="begin"/>
        </w:r>
        <w:r w:rsidR="002316E4">
          <w:rPr>
            <w:noProof/>
            <w:webHidden/>
          </w:rPr>
          <w:instrText xml:space="preserve"> PAGEREF _Toc345940057 \h </w:instrText>
        </w:r>
        <w:r w:rsidR="007174B3">
          <w:rPr>
            <w:noProof/>
            <w:webHidden/>
          </w:rPr>
          <w:fldChar w:fldCharType="separate"/>
        </w:r>
        <w:r w:rsidR="002E2529">
          <w:rPr>
            <w:b w:val="0"/>
            <w:bCs w:val="0"/>
            <w:noProof/>
            <w:webHidden/>
            <w:lang w:val="en-US"/>
          </w:rPr>
          <w:t>Error! Bookmark not defined.</w:t>
        </w:r>
        <w:r w:rsidR="007174B3">
          <w:rPr>
            <w:noProof/>
            <w:webHidden/>
          </w:rPr>
          <w:fldChar w:fldCharType="end"/>
        </w:r>
      </w:hyperlink>
    </w:p>
    <w:p w:rsidR="002316E4" w:rsidRDefault="00EF0E25">
      <w:pPr>
        <w:pStyle w:val="TOC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58" w:history="1">
        <w:r w:rsidR="002316E4" w:rsidRPr="00B54044">
          <w:rPr>
            <w:rStyle w:val="Hyperlink"/>
            <w:noProof/>
          </w:rPr>
          <w:t>5.</w:t>
        </w:r>
        <w:r w:rsidR="002316E4">
          <w:rPr>
            <w:rFonts w:asciiTheme="minorHAnsi" w:eastAsiaTheme="minorEastAsia" w:hAnsiTheme="minorHAnsi" w:cstheme="minorBidi"/>
            <w:b w:val="0"/>
            <w:bCs w:val="0"/>
            <w:noProof/>
            <w:color w:val="auto"/>
            <w:szCs w:val="22"/>
            <w:lang w:val="de-AT" w:eastAsia="de-AT"/>
          </w:rPr>
          <w:tab/>
        </w:r>
        <w:r w:rsidR="00873B1D" w:rsidRPr="00873B1D">
          <w:rPr>
            <w:rStyle w:val="Hyperlink"/>
            <w:noProof/>
          </w:rPr>
          <w:t>Τεκμηρίωση και Έρευνα</w:t>
        </w:r>
        <w:r w:rsidR="002316E4">
          <w:rPr>
            <w:noProof/>
            <w:webHidden/>
          </w:rPr>
          <w:tab/>
        </w:r>
        <w:r w:rsidR="007174B3">
          <w:rPr>
            <w:noProof/>
            <w:webHidden/>
          </w:rPr>
          <w:fldChar w:fldCharType="begin"/>
        </w:r>
        <w:r w:rsidR="002316E4">
          <w:rPr>
            <w:noProof/>
            <w:webHidden/>
          </w:rPr>
          <w:instrText xml:space="preserve"> PAGEREF _Toc345940058 \h </w:instrText>
        </w:r>
        <w:r w:rsidR="007174B3">
          <w:rPr>
            <w:noProof/>
            <w:webHidden/>
          </w:rPr>
          <w:fldChar w:fldCharType="separate"/>
        </w:r>
        <w:r w:rsidR="002E2529">
          <w:rPr>
            <w:b w:val="0"/>
            <w:bCs w:val="0"/>
            <w:noProof/>
            <w:webHidden/>
            <w:lang w:val="en-US"/>
          </w:rPr>
          <w:t>Error! Bookmark not defined.</w:t>
        </w:r>
        <w:r w:rsidR="007174B3">
          <w:rPr>
            <w:noProof/>
            <w:webHidden/>
          </w:rPr>
          <w:fldChar w:fldCharType="end"/>
        </w:r>
      </w:hyperlink>
    </w:p>
    <w:p w:rsidR="002316E4" w:rsidRDefault="00EF0E25">
      <w:pPr>
        <w:pStyle w:val="TOC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59" w:history="1">
        <w:r w:rsidR="002316E4" w:rsidRPr="00B54044">
          <w:rPr>
            <w:rStyle w:val="Hyperlink"/>
            <w:noProof/>
          </w:rPr>
          <w:t>6.</w:t>
        </w:r>
        <w:r w:rsidR="002316E4">
          <w:rPr>
            <w:rFonts w:asciiTheme="minorHAnsi" w:eastAsiaTheme="minorEastAsia" w:hAnsiTheme="minorHAnsi" w:cstheme="minorBidi"/>
            <w:b w:val="0"/>
            <w:bCs w:val="0"/>
            <w:noProof/>
            <w:color w:val="auto"/>
            <w:szCs w:val="22"/>
            <w:lang w:val="de-AT" w:eastAsia="de-AT"/>
          </w:rPr>
          <w:tab/>
        </w:r>
        <w:r w:rsidR="00873B1D">
          <w:rPr>
            <w:rStyle w:val="Hyperlink"/>
            <w:noProof/>
          </w:rPr>
          <w:t>Προληπτική Παρακολούθηση</w:t>
        </w:r>
        <w:r w:rsidR="002316E4">
          <w:rPr>
            <w:noProof/>
            <w:webHidden/>
          </w:rPr>
          <w:tab/>
        </w:r>
        <w:r w:rsidR="007174B3">
          <w:rPr>
            <w:noProof/>
            <w:webHidden/>
          </w:rPr>
          <w:fldChar w:fldCharType="begin"/>
        </w:r>
        <w:r w:rsidR="002316E4">
          <w:rPr>
            <w:noProof/>
            <w:webHidden/>
          </w:rPr>
          <w:instrText xml:space="preserve"> PAGEREF _Toc345940059 \h </w:instrText>
        </w:r>
        <w:r w:rsidR="007174B3">
          <w:rPr>
            <w:noProof/>
            <w:webHidden/>
          </w:rPr>
          <w:fldChar w:fldCharType="separate"/>
        </w:r>
        <w:r w:rsidR="002E2529">
          <w:rPr>
            <w:b w:val="0"/>
            <w:bCs w:val="0"/>
            <w:noProof/>
            <w:webHidden/>
            <w:lang w:val="en-US"/>
          </w:rPr>
          <w:t>Error! Bookmark not defined.</w:t>
        </w:r>
        <w:r w:rsidR="007174B3">
          <w:rPr>
            <w:noProof/>
            <w:webHidden/>
          </w:rPr>
          <w:fldChar w:fldCharType="end"/>
        </w:r>
      </w:hyperlink>
    </w:p>
    <w:p w:rsidR="002316E4" w:rsidRDefault="00EF0E25">
      <w:pPr>
        <w:pStyle w:val="TOC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60" w:history="1">
        <w:r w:rsidR="002316E4" w:rsidRPr="00B54044">
          <w:rPr>
            <w:rStyle w:val="Hyperlink"/>
            <w:noProof/>
          </w:rPr>
          <w:t>7.</w:t>
        </w:r>
        <w:r w:rsidR="002316E4">
          <w:rPr>
            <w:rFonts w:asciiTheme="minorHAnsi" w:eastAsiaTheme="minorEastAsia" w:hAnsiTheme="minorHAnsi" w:cstheme="minorBidi"/>
            <w:b w:val="0"/>
            <w:bCs w:val="0"/>
            <w:noProof/>
            <w:color w:val="auto"/>
            <w:szCs w:val="22"/>
            <w:lang w:val="de-AT" w:eastAsia="de-AT"/>
          </w:rPr>
          <w:tab/>
        </w:r>
        <w:r w:rsidR="00873B1D">
          <w:rPr>
            <w:rStyle w:val="Hyperlink"/>
            <w:noProof/>
          </w:rPr>
          <w:t>Υπεράσπιση και Χάραξη πολιτικής</w:t>
        </w:r>
        <w:r w:rsidR="002316E4">
          <w:rPr>
            <w:noProof/>
            <w:webHidden/>
          </w:rPr>
          <w:tab/>
        </w:r>
        <w:r w:rsidR="007174B3">
          <w:rPr>
            <w:noProof/>
            <w:webHidden/>
          </w:rPr>
          <w:fldChar w:fldCharType="begin"/>
        </w:r>
        <w:r w:rsidR="002316E4">
          <w:rPr>
            <w:noProof/>
            <w:webHidden/>
          </w:rPr>
          <w:instrText xml:space="preserve"> PAGEREF _Toc345940060 \h </w:instrText>
        </w:r>
        <w:r w:rsidR="007174B3">
          <w:rPr>
            <w:noProof/>
            <w:webHidden/>
          </w:rPr>
          <w:fldChar w:fldCharType="separate"/>
        </w:r>
        <w:r w:rsidR="002E2529">
          <w:rPr>
            <w:b w:val="0"/>
            <w:bCs w:val="0"/>
            <w:noProof/>
            <w:webHidden/>
            <w:lang w:val="en-US"/>
          </w:rPr>
          <w:t>Error! Bookmark not defined.</w:t>
        </w:r>
        <w:r w:rsidR="007174B3">
          <w:rPr>
            <w:noProof/>
            <w:webHidden/>
          </w:rPr>
          <w:fldChar w:fldCharType="end"/>
        </w:r>
      </w:hyperlink>
    </w:p>
    <w:p w:rsidR="002316E4" w:rsidRDefault="00EF0E25">
      <w:pPr>
        <w:pStyle w:val="TOC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61" w:history="1">
        <w:r w:rsidR="002316E4" w:rsidRPr="00B54044">
          <w:rPr>
            <w:rStyle w:val="Hyperlink"/>
            <w:noProof/>
          </w:rPr>
          <w:t>8.</w:t>
        </w:r>
        <w:r w:rsidR="002316E4">
          <w:rPr>
            <w:rFonts w:asciiTheme="minorHAnsi" w:eastAsiaTheme="minorEastAsia" w:hAnsiTheme="minorHAnsi" w:cstheme="minorBidi"/>
            <w:b w:val="0"/>
            <w:bCs w:val="0"/>
            <w:noProof/>
            <w:color w:val="auto"/>
            <w:szCs w:val="22"/>
            <w:lang w:val="de-AT" w:eastAsia="de-AT"/>
          </w:rPr>
          <w:tab/>
        </w:r>
        <w:r w:rsidR="00873B1D">
          <w:rPr>
            <w:rStyle w:val="Hyperlink"/>
            <w:noProof/>
          </w:rPr>
          <w:t>Ενίσχυση Ικανοτήτων</w:t>
        </w:r>
        <w:r w:rsidR="002316E4">
          <w:rPr>
            <w:noProof/>
            <w:webHidden/>
          </w:rPr>
          <w:tab/>
        </w:r>
        <w:r w:rsidR="007174B3">
          <w:rPr>
            <w:noProof/>
            <w:webHidden/>
          </w:rPr>
          <w:fldChar w:fldCharType="begin"/>
        </w:r>
        <w:r w:rsidR="002316E4">
          <w:rPr>
            <w:noProof/>
            <w:webHidden/>
          </w:rPr>
          <w:instrText xml:space="preserve"> PAGEREF _Toc345940061 \h </w:instrText>
        </w:r>
        <w:r w:rsidR="007174B3">
          <w:rPr>
            <w:noProof/>
            <w:webHidden/>
          </w:rPr>
          <w:fldChar w:fldCharType="separate"/>
        </w:r>
        <w:r w:rsidR="002E2529">
          <w:rPr>
            <w:b w:val="0"/>
            <w:bCs w:val="0"/>
            <w:noProof/>
            <w:webHidden/>
            <w:lang w:val="en-US"/>
          </w:rPr>
          <w:t>Error! Bookmark not defined.</w:t>
        </w:r>
        <w:r w:rsidR="007174B3">
          <w:rPr>
            <w:noProof/>
            <w:webHidden/>
          </w:rPr>
          <w:fldChar w:fldCharType="end"/>
        </w:r>
      </w:hyperlink>
    </w:p>
    <w:p w:rsidR="002316E4" w:rsidRDefault="00EF0E25">
      <w:pPr>
        <w:pStyle w:val="TOC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62" w:history="1">
        <w:r w:rsidR="002316E4" w:rsidRPr="00B54044">
          <w:rPr>
            <w:rStyle w:val="Hyperlink"/>
            <w:noProof/>
          </w:rPr>
          <w:t>9.</w:t>
        </w:r>
        <w:r w:rsidR="002316E4">
          <w:rPr>
            <w:rFonts w:asciiTheme="minorHAnsi" w:eastAsiaTheme="minorEastAsia" w:hAnsiTheme="minorHAnsi" w:cstheme="minorBidi"/>
            <w:b w:val="0"/>
            <w:bCs w:val="0"/>
            <w:noProof/>
            <w:color w:val="auto"/>
            <w:szCs w:val="22"/>
            <w:lang w:val="de-AT" w:eastAsia="de-AT"/>
          </w:rPr>
          <w:tab/>
        </w:r>
        <w:r w:rsidR="00873B1D">
          <w:rPr>
            <w:rStyle w:val="Hyperlink"/>
            <w:noProof/>
          </w:rPr>
          <w:t>Ο ρόλος του δικαστικού αγώνα</w:t>
        </w:r>
        <w:r w:rsidR="002316E4">
          <w:rPr>
            <w:noProof/>
            <w:webHidden/>
          </w:rPr>
          <w:tab/>
        </w:r>
        <w:r w:rsidR="007174B3">
          <w:rPr>
            <w:noProof/>
            <w:webHidden/>
          </w:rPr>
          <w:fldChar w:fldCharType="begin"/>
        </w:r>
        <w:r w:rsidR="002316E4">
          <w:rPr>
            <w:noProof/>
            <w:webHidden/>
          </w:rPr>
          <w:instrText xml:space="preserve"> PAGEREF _Toc345940062 \h </w:instrText>
        </w:r>
        <w:r w:rsidR="007174B3">
          <w:rPr>
            <w:noProof/>
            <w:webHidden/>
          </w:rPr>
          <w:fldChar w:fldCharType="separate"/>
        </w:r>
        <w:r w:rsidR="002E2529">
          <w:rPr>
            <w:b w:val="0"/>
            <w:bCs w:val="0"/>
            <w:noProof/>
            <w:webHidden/>
            <w:lang w:val="en-US"/>
          </w:rPr>
          <w:t>Error! Bookmark not defined.</w:t>
        </w:r>
        <w:r w:rsidR="007174B3">
          <w:rPr>
            <w:noProof/>
            <w:webHidden/>
          </w:rPr>
          <w:fldChar w:fldCharType="end"/>
        </w:r>
      </w:hyperlink>
    </w:p>
    <w:p w:rsidR="002316E4" w:rsidRDefault="00EF0E25">
      <w:pPr>
        <w:pStyle w:val="TOC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63" w:history="1">
        <w:r w:rsidR="002316E4" w:rsidRPr="00B54044">
          <w:rPr>
            <w:rStyle w:val="Hyperlink"/>
            <w:noProof/>
          </w:rPr>
          <w:t>10.</w:t>
        </w:r>
        <w:r w:rsidR="002316E4">
          <w:rPr>
            <w:rFonts w:asciiTheme="minorHAnsi" w:eastAsiaTheme="minorEastAsia" w:hAnsiTheme="minorHAnsi" w:cstheme="minorBidi"/>
            <w:b w:val="0"/>
            <w:bCs w:val="0"/>
            <w:noProof/>
            <w:color w:val="auto"/>
            <w:szCs w:val="22"/>
            <w:lang w:val="de-AT" w:eastAsia="de-AT"/>
          </w:rPr>
          <w:tab/>
        </w:r>
        <w:r w:rsidR="00873B1D">
          <w:rPr>
            <w:rStyle w:val="Hyperlink"/>
            <w:noProof/>
          </w:rPr>
          <w:t>Επίλογος</w:t>
        </w:r>
        <w:r w:rsidR="002316E4">
          <w:rPr>
            <w:noProof/>
            <w:webHidden/>
          </w:rPr>
          <w:tab/>
        </w:r>
        <w:r w:rsidR="007174B3">
          <w:rPr>
            <w:noProof/>
            <w:webHidden/>
          </w:rPr>
          <w:fldChar w:fldCharType="begin"/>
        </w:r>
        <w:r w:rsidR="002316E4">
          <w:rPr>
            <w:noProof/>
            <w:webHidden/>
          </w:rPr>
          <w:instrText xml:space="preserve"> PAGEREF _Toc345940063 \h </w:instrText>
        </w:r>
        <w:r w:rsidR="007174B3">
          <w:rPr>
            <w:noProof/>
            <w:webHidden/>
          </w:rPr>
          <w:fldChar w:fldCharType="separate"/>
        </w:r>
        <w:r w:rsidR="002E2529">
          <w:rPr>
            <w:b w:val="0"/>
            <w:bCs w:val="0"/>
            <w:noProof/>
            <w:webHidden/>
            <w:lang w:val="en-US"/>
          </w:rPr>
          <w:t>Error! Bookmark not defined.</w:t>
        </w:r>
        <w:r w:rsidR="007174B3">
          <w:rPr>
            <w:noProof/>
            <w:webHidden/>
          </w:rPr>
          <w:fldChar w:fldCharType="end"/>
        </w:r>
      </w:hyperlink>
    </w:p>
    <w:p w:rsidR="002316E4" w:rsidRDefault="00EF0E25">
      <w:pPr>
        <w:pStyle w:val="TOC1"/>
        <w:tabs>
          <w:tab w:val="left" w:pos="660"/>
          <w:tab w:val="right" w:leader="dot" w:pos="9062"/>
        </w:tabs>
        <w:rPr>
          <w:rFonts w:asciiTheme="minorHAnsi" w:eastAsiaTheme="minorEastAsia" w:hAnsiTheme="minorHAnsi" w:cstheme="minorBidi"/>
          <w:b w:val="0"/>
          <w:bCs w:val="0"/>
          <w:noProof/>
          <w:color w:val="auto"/>
          <w:szCs w:val="22"/>
          <w:lang w:val="de-AT" w:eastAsia="de-AT"/>
        </w:rPr>
      </w:pPr>
      <w:hyperlink w:anchor="_Toc345940064" w:history="1">
        <w:r w:rsidR="002316E4" w:rsidRPr="00B54044">
          <w:rPr>
            <w:rStyle w:val="Hyperlink"/>
            <w:noProof/>
          </w:rPr>
          <w:t>11.</w:t>
        </w:r>
        <w:r w:rsidR="002316E4">
          <w:rPr>
            <w:rFonts w:asciiTheme="minorHAnsi" w:eastAsiaTheme="minorEastAsia" w:hAnsiTheme="minorHAnsi" w:cstheme="minorBidi"/>
            <w:b w:val="0"/>
            <w:bCs w:val="0"/>
            <w:noProof/>
            <w:color w:val="auto"/>
            <w:szCs w:val="22"/>
            <w:lang w:val="de-AT" w:eastAsia="de-AT"/>
          </w:rPr>
          <w:tab/>
        </w:r>
        <w:r w:rsidR="00873B1D">
          <w:rPr>
            <w:rStyle w:val="Hyperlink"/>
            <w:noProof/>
          </w:rPr>
          <w:t>Βιβλιογραφία</w:t>
        </w:r>
        <w:r w:rsidR="002316E4">
          <w:rPr>
            <w:noProof/>
            <w:webHidden/>
          </w:rPr>
          <w:tab/>
        </w:r>
        <w:r w:rsidR="007174B3">
          <w:rPr>
            <w:noProof/>
            <w:webHidden/>
          </w:rPr>
          <w:fldChar w:fldCharType="begin"/>
        </w:r>
        <w:r w:rsidR="002316E4">
          <w:rPr>
            <w:noProof/>
            <w:webHidden/>
          </w:rPr>
          <w:instrText xml:space="preserve"> PAGEREF _Toc345940064 \h </w:instrText>
        </w:r>
        <w:r w:rsidR="007174B3">
          <w:rPr>
            <w:noProof/>
            <w:webHidden/>
          </w:rPr>
          <w:fldChar w:fldCharType="separate"/>
        </w:r>
        <w:r w:rsidR="002E2529">
          <w:rPr>
            <w:b w:val="0"/>
            <w:bCs w:val="0"/>
            <w:noProof/>
            <w:webHidden/>
            <w:lang w:val="en-US"/>
          </w:rPr>
          <w:t>Error! Bookmark not defined.</w:t>
        </w:r>
        <w:r w:rsidR="007174B3">
          <w:rPr>
            <w:noProof/>
            <w:webHidden/>
          </w:rPr>
          <w:fldChar w:fldCharType="end"/>
        </w:r>
      </w:hyperlink>
    </w:p>
    <w:p w:rsidR="000F64AE" w:rsidRDefault="007174B3" w:rsidP="00E2673F">
      <w:pPr>
        <w:rPr>
          <w:lang w:val="en-US"/>
        </w:rPr>
      </w:pPr>
      <w:r w:rsidRPr="006E686D">
        <w:rPr>
          <w:rFonts w:ascii="Verdana" w:hAnsi="Verdana"/>
          <w:lang w:val="en-US"/>
        </w:rPr>
        <w:fldChar w:fldCharType="end"/>
      </w:r>
      <w:r w:rsidR="000F64AE">
        <w:rPr>
          <w:lang w:val="en-US"/>
        </w:rPr>
        <w:br w:type="page"/>
      </w:r>
    </w:p>
    <w:tbl>
      <w:tblPr>
        <w:tblW w:w="9889" w:type="dxa"/>
        <w:tblBorders>
          <w:insideV w:val="single" w:sz="4" w:space="0" w:color="auto"/>
        </w:tblBorders>
        <w:tblLayout w:type="fixed"/>
        <w:tblLook w:val="00A0" w:firstRow="1" w:lastRow="0" w:firstColumn="1" w:lastColumn="0" w:noHBand="0" w:noVBand="0"/>
      </w:tblPr>
      <w:tblGrid>
        <w:gridCol w:w="7337"/>
        <w:gridCol w:w="2552"/>
      </w:tblGrid>
      <w:tr w:rsidR="000F64AE" w:rsidRPr="00C524A5" w:rsidTr="00F54D6C">
        <w:tc>
          <w:tcPr>
            <w:tcW w:w="7337" w:type="dxa"/>
          </w:tcPr>
          <w:p w:rsidR="000F64AE" w:rsidRPr="00157134" w:rsidRDefault="00785C46" w:rsidP="00F54D6C">
            <w:pPr>
              <w:pStyle w:val="Heading1"/>
            </w:pPr>
            <w:r>
              <w:rPr>
                <w:lang w:val="el-GR"/>
              </w:rPr>
              <w:lastRenderedPageBreak/>
              <w:t>Εισαγωγή</w:t>
            </w:r>
          </w:p>
        </w:tc>
        <w:tc>
          <w:tcPr>
            <w:tcW w:w="2552" w:type="dxa"/>
            <w:tcMar>
              <w:left w:w="170" w:type="dxa"/>
            </w:tcMar>
          </w:tcPr>
          <w:p w:rsidR="000F64AE" w:rsidRPr="00FB4875" w:rsidRDefault="000F64AE" w:rsidP="00F54D6C">
            <w:pPr>
              <w:pStyle w:val="Heading1"/>
              <w:numPr>
                <w:ilvl w:val="0"/>
                <w:numId w:val="0"/>
              </w:numPr>
              <w:ind w:left="360"/>
            </w:pPr>
          </w:p>
        </w:tc>
      </w:tr>
      <w:tr w:rsidR="000F64AE" w:rsidRPr="00F775FB" w:rsidTr="00F54D6C">
        <w:tc>
          <w:tcPr>
            <w:tcW w:w="7337" w:type="dxa"/>
          </w:tcPr>
          <w:p w:rsidR="00ED4F46" w:rsidRDefault="00ED4F46" w:rsidP="00A32635">
            <w:pPr>
              <w:pStyle w:val="BodyText"/>
              <w:rPr>
                <w:lang w:val="el-GR" w:eastAsia="de-DE"/>
              </w:rPr>
            </w:pPr>
            <w:r w:rsidRPr="00ED4F46">
              <w:rPr>
                <w:lang w:val="el-GR" w:eastAsia="de-DE"/>
              </w:rPr>
              <w:t>Το Πρωτόκολλο της Κωνσταντινούπολης τονίζει τη σημασία της καταγραφής και διερεύνησης περιπτώ</w:t>
            </w:r>
            <w:r>
              <w:rPr>
                <w:lang w:val="el-GR" w:eastAsia="de-DE"/>
              </w:rPr>
              <w:t xml:space="preserve">σεων βασανιστηρίων και κακής </w:t>
            </w:r>
            <w:r w:rsidRPr="00ED4F46">
              <w:rPr>
                <w:lang w:val="el-GR" w:eastAsia="de-DE"/>
              </w:rPr>
              <w:t xml:space="preserve">μεταχείρισης σε δικαστικές διαδικασίες καθώς </w:t>
            </w:r>
            <w:r>
              <w:rPr>
                <w:lang w:val="el-GR" w:eastAsia="de-DE"/>
              </w:rPr>
              <w:t>επίσης και αξιώσεων για θεραπεία και</w:t>
            </w:r>
            <w:r w:rsidRPr="00ED4F46">
              <w:rPr>
                <w:lang w:val="el-GR" w:eastAsia="de-DE"/>
              </w:rPr>
              <w:t xml:space="preserve"> αποκατάσταση, ή αιτήσεων ασύλου. Η παρακάτω ενότητα παρέχει πληροφορίες σχετικά με το ρόλο των δικηγόρων </w:t>
            </w:r>
            <w:r>
              <w:rPr>
                <w:lang w:val="el-GR" w:eastAsia="de-DE"/>
              </w:rPr>
              <w:t>σχετικά με το θέμα</w:t>
            </w:r>
            <w:r w:rsidRPr="00ED4F46">
              <w:rPr>
                <w:lang w:val="el-GR" w:eastAsia="de-DE"/>
              </w:rPr>
              <w:t xml:space="preserve">. Με την πείρα τους από το εθνικό νομικό πλαίσιο σε συνδυασμό με την άμεση και προνομιακή πρόσβαση στους πελάτες τους, οι δικηγόροι διαδραματίζουν </w:t>
            </w:r>
            <w:r>
              <w:rPr>
                <w:lang w:val="el-GR" w:eastAsia="de-DE"/>
              </w:rPr>
              <w:t xml:space="preserve">ένα </w:t>
            </w:r>
            <w:r w:rsidRPr="00ED4F46">
              <w:rPr>
                <w:lang w:val="el-GR" w:eastAsia="de-DE"/>
              </w:rPr>
              <w:t xml:space="preserve">θεμελιώδη ρόλο στον τομέα της συμμόρφωσης </w:t>
            </w:r>
            <w:r>
              <w:rPr>
                <w:lang w:val="el-GR" w:eastAsia="de-DE"/>
              </w:rPr>
              <w:t>με το</w:t>
            </w:r>
            <w:r w:rsidRPr="00ED4F46">
              <w:rPr>
                <w:lang w:val="el-GR" w:eastAsia="de-DE"/>
              </w:rPr>
              <w:t xml:space="preserve"> κ</w:t>
            </w:r>
            <w:r>
              <w:rPr>
                <w:lang w:val="el-GR" w:eastAsia="de-DE"/>
              </w:rPr>
              <w:t>ράτο</w:t>
            </w:r>
            <w:r w:rsidRPr="00ED4F46">
              <w:rPr>
                <w:lang w:val="el-GR" w:eastAsia="de-DE"/>
              </w:rPr>
              <w:t>ς δικαίου, και, όπως αναλύεται σε όλ</w:t>
            </w:r>
            <w:r>
              <w:rPr>
                <w:lang w:val="el-GR" w:eastAsia="de-DE"/>
              </w:rPr>
              <w:t>ο το</w:t>
            </w:r>
            <w:r w:rsidRPr="00ED4F46">
              <w:rPr>
                <w:lang w:val="el-GR" w:eastAsia="de-DE"/>
              </w:rPr>
              <w:t xml:space="preserve"> επόμενο κεφάλαιο, στην απαγόρευση και την πρόληψη των βασανιστηρίων και </w:t>
            </w:r>
            <w:r>
              <w:rPr>
                <w:lang w:val="el-GR" w:eastAsia="de-DE"/>
              </w:rPr>
              <w:t xml:space="preserve">της κακής </w:t>
            </w:r>
            <w:r w:rsidRPr="00ED4F46">
              <w:rPr>
                <w:lang w:val="el-GR" w:eastAsia="de-DE"/>
              </w:rPr>
              <w:t>μεταχείριση</w:t>
            </w:r>
            <w:r>
              <w:rPr>
                <w:lang w:val="el-GR" w:eastAsia="de-DE"/>
              </w:rPr>
              <w:t>ς</w:t>
            </w:r>
            <w:r w:rsidRPr="00ED4F46">
              <w:rPr>
                <w:lang w:val="el-GR" w:eastAsia="de-DE"/>
              </w:rPr>
              <w:t>.</w:t>
            </w:r>
          </w:p>
          <w:p w:rsidR="00ED4F46" w:rsidRPr="00ED4F46" w:rsidRDefault="00ED4F46" w:rsidP="00ED4F46">
            <w:pPr>
              <w:pStyle w:val="BodyText"/>
              <w:rPr>
                <w:lang w:val="el-GR" w:eastAsia="de-DE"/>
              </w:rPr>
            </w:pPr>
            <w:r>
              <w:rPr>
                <w:lang w:val="el-GR" w:eastAsia="de-DE"/>
              </w:rPr>
              <w:t>Στ</w:t>
            </w:r>
            <w:r w:rsidRPr="00ED4F46">
              <w:rPr>
                <w:lang w:val="el-GR" w:eastAsia="de-DE"/>
              </w:rPr>
              <w:t xml:space="preserve">ο κεφάλαιο θα αναλύσουμε τις λειτουργίες των δικηγόρων σε σχέση με την θέσπιση και εφαρμογή του εθνικού νομικού πλαισίου, </w:t>
            </w:r>
            <w:r>
              <w:rPr>
                <w:lang w:val="el-GR" w:eastAsia="de-DE"/>
              </w:rPr>
              <w:t>τ</w:t>
            </w:r>
            <w:r w:rsidRPr="00ED4F46">
              <w:rPr>
                <w:lang w:val="el-GR" w:eastAsia="de-DE"/>
              </w:rPr>
              <w:t>η</w:t>
            </w:r>
            <w:r>
              <w:rPr>
                <w:lang w:val="el-GR" w:eastAsia="de-DE"/>
              </w:rPr>
              <w:t>ν</w:t>
            </w:r>
            <w:r w:rsidRPr="00ED4F46">
              <w:rPr>
                <w:lang w:val="el-GR" w:eastAsia="de-DE"/>
              </w:rPr>
              <w:t xml:space="preserve"> εκπροσώπηση των κρατουμένων και τ</w:t>
            </w:r>
            <w:r>
              <w:rPr>
                <w:lang w:val="el-GR" w:eastAsia="de-DE"/>
              </w:rPr>
              <w:t>ων επιζώντων</w:t>
            </w:r>
            <w:r w:rsidRPr="00ED4F46">
              <w:rPr>
                <w:lang w:val="el-GR" w:eastAsia="de-DE"/>
              </w:rPr>
              <w:t xml:space="preserve"> βασανιστηρίων, </w:t>
            </w:r>
            <w:r>
              <w:rPr>
                <w:lang w:val="el-GR" w:eastAsia="de-DE"/>
              </w:rPr>
              <w:t>τ</w:t>
            </w:r>
            <w:r w:rsidRPr="00ED4F46">
              <w:rPr>
                <w:lang w:val="el-GR" w:eastAsia="de-DE"/>
              </w:rPr>
              <w:t>η</w:t>
            </w:r>
            <w:r>
              <w:rPr>
                <w:lang w:val="el-GR" w:eastAsia="de-DE"/>
              </w:rPr>
              <w:t>ν</w:t>
            </w:r>
            <w:r w:rsidRPr="00ED4F46">
              <w:rPr>
                <w:lang w:val="el-GR" w:eastAsia="de-DE"/>
              </w:rPr>
              <w:t xml:space="preserve"> έρευνα και </w:t>
            </w:r>
            <w:r>
              <w:rPr>
                <w:lang w:val="el-GR" w:eastAsia="de-DE"/>
              </w:rPr>
              <w:t>τ</w:t>
            </w:r>
            <w:r w:rsidRPr="00ED4F46">
              <w:rPr>
                <w:lang w:val="el-GR" w:eastAsia="de-DE"/>
              </w:rPr>
              <w:t>η</w:t>
            </w:r>
            <w:r>
              <w:rPr>
                <w:lang w:val="el-GR" w:eastAsia="de-DE"/>
              </w:rPr>
              <w:t>ν</w:t>
            </w:r>
            <w:r w:rsidRPr="00ED4F46">
              <w:rPr>
                <w:lang w:val="el-GR" w:eastAsia="de-DE"/>
              </w:rPr>
              <w:t xml:space="preserve"> τεκμηρίωση των </w:t>
            </w:r>
            <w:r>
              <w:rPr>
                <w:lang w:val="el-GR" w:eastAsia="de-DE"/>
              </w:rPr>
              <w:t xml:space="preserve">υποθέσεων βασανιστηρίων και κακής </w:t>
            </w:r>
            <w:r w:rsidRPr="00ED4F46">
              <w:rPr>
                <w:lang w:val="el-GR" w:eastAsia="de-DE"/>
              </w:rPr>
              <w:t xml:space="preserve">μεταχείρισης, </w:t>
            </w:r>
            <w:r>
              <w:rPr>
                <w:lang w:val="el-GR" w:eastAsia="de-DE"/>
              </w:rPr>
              <w:t>τ</w:t>
            </w:r>
            <w:r w:rsidRPr="00ED4F46">
              <w:rPr>
                <w:lang w:val="el-GR" w:eastAsia="de-DE"/>
              </w:rPr>
              <w:t>η</w:t>
            </w:r>
            <w:r>
              <w:rPr>
                <w:lang w:val="el-GR" w:eastAsia="de-DE"/>
              </w:rPr>
              <w:t>ν</w:t>
            </w:r>
            <w:r w:rsidRPr="00ED4F46">
              <w:rPr>
                <w:lang w:val="el-GR" w:eastAsia="de-DE"/>
              </w:rPr>
              <w:t xml:space="preserve"> προληπτική παρακολούθηση των χώρων </w:t>
            </w:r>
            <w:r>
              <w:rPr>
                <w:lang w:val="el-GR" w:eastAsia="de-DE"/>
              </w:rPr>
              <w:t>κράτησης, την υπεράσπιση και την χάραξη πολιτικής, καθώς και την ενίσχυση των</w:t>
            </w:r>
            <w:r w:rsidRPr="00ED4F46">
              <w:rPr>
                <w:lang w:val="el-GR" w:eastAsia="de-DE"/>
              </w:rPr>
              <w:t xml:space="preserve"> ι</w:t>
            </w:r>
            <w:r>
              <w:rPr>
                <w:lang w:val="el-GR" w:eastAsia="de-DE"/>
              </w:rPr>
              <w:t>κανοτήτων</w:t>
            </w:r>
            <w:r w:rsidRPr="00ED4F46">
              <w:rPr>
                <w:lang w:val="el-GR" w:eastAsia="de-DE"/>
              </w:rPr>
              <w:t xml:space="preserve"> και της ασκήσεως της προσφυγής.</w:t>
            </w:r>
          </w:p>
          <w:p w:rsidR="00ED4F46" w:rsidRDefault="00ED4F46" w:rsidP="00ED4F46">
            <w:pPr>
              <w:pStyle w:val="BodyText"/>
              <w:rPr>
                <w:lang w:val="el-GR" w:eastAsia="de-DE"/>
              </w:rPr>
            </w:pPr>
            <w:r w:rsidRPr="00ED4F46">
              <w:rPr>
                <w:lang w:val="el-GR" w:eastAsia="de-DE"/>
              </w:rPr>
              <w:t xml:space="preserve">Ο κεντρικός ρόλος των νομικών επαγγελμάτων στην προώθηση και προστασία των ανθρωπίνων δικαιωμάτων, και </w:t>
            </w:r>
            <w:r>
              <w:rPr>
                <w:lang w:val="el-GR" w:eastAsia="de-DE"/>
              </w:rPr>
              <w:t>κυρίως</w:t>
            </w:r>
            <w:r w:rsidRPr="00ED4F46">
              <w:rPr>
                <w:lang w:val="el-GR" w:eastAsia="de-DE"/>
              </w:rPr>
              <w:t xml:space="preserve"> στην απαγόρευση των βασανιστηρίων και της κακής μεταχείρισης, έχει επισημανθεί από πολλές συνθήκες, μη δεσμευτικ</w:t>
            </w:r>
            <w:r>
              <w:rPr>
                <w:lang w:val="el-GR" w:eastAsia="de-DE"/>
              </w:rPr>
              <w:t>ές νομικές πράξεις και την νομολογία</w:t>
            </w:r>
            <w:r w:rsidRPr="00ED4F46">
              <w:rPr>
                <w:lang w:val="el-GR" w:eastAsia="de-DE"/>
              </w:rPr>
              <w:t>.</w:t>
            </w:r>
          </w:p>
          <w:p w:rsidR="00ED4F46" w:rsidRDefault="00ED4F46" w:rsidP="00E2673F">
            <w:pPr>
              <w:pStyle w:val="BodyText"/>
              <w:rPr>
                <w:lang w:val="el-GR" w:eastAsia="de-DE"/>
              </w:rPr>
            </w:pPr>
            <w:r w:rsidRPr="00ED4F46">
              <w:rPr>
                <w:lang w:val="el-GR" w:eastAsia="de-DE"/>
              </w:rPr>
              <w:t>Η προνομιακή πρόσβαση στους κρατουμένους μπορεί να συμβάλει στην πρόληψ</w:t>
            </w:r>
            <w:r w:rsidR="00264283">
              <w:rPr>
                <w:lang w:val="el-GR" w:eastAsia="de-DE"/>
              </w:rPr>
              <w:t xml:space="preserve">η των βασανιστηρίων και της κακής </w:t>
            </w:r>
            <w:r w:rsidRPr="00ED4F46">
              <w:rPr>
                <w:lang w:val="el-GR" w:eastAsia="de-DE"/>
              </w:rPr>
              <w:t>μεταχείρισης, ειδικά στις στιγμές</w:t>
            </w:r>
            <w:r w:rsidR="00264283">
              <w:rPr>
                <w:lang w:val="el-GR" w:eastAsia="de-DE"/>
              </w:rPr>
              <w:t xml:space="preserve"> αμέσως μετά τη σύλληψη, κατά τις οποίες</w:t>
            </w:r>
            <w:r w:rsidRPr="00ED4F46">
              <w:rPr>
                <w:lang w:val="el-GR" w:eastAsia="de-DE"/>
              </w:rPr>
              <w:t xml:space="preserve"> οι κρατούμενοι βρίσκονται σε μεγαλ</w:t>
            </w:r>
            <w:r w:rsidR="00264283">
              <w:rPr>
                <w:lang w:val="el-GR" w:eastAsia="de-DE"/>
              </w:rPr>
              <w:t>ύτερο κίνδυνο κακοποίησης</w:t>
            </w:r>
            <w:r w:rsidRPr="00ED4F46">
              <w:rPr>
                <w:lang w:val="el-GR" w:eastAsia="de-DE"/>
              </w:rPr>
              <w:t xml:space="preserve">. Συναφώς, οι δικηγόροι θα πρέπει όχι μόνον υπερασπίζονται τους πελάτες τους σχετικά με τις ποινικές διώξεις εις βάρος τους, αλλά και </w:t>
            </w:r>
            <w:r w:rsidR="00264283">
              <w:rPr>
                <w:lang w:val="el-GR" w:eastAsia="de-DE"/>
              </w:rPr>
              <w:t>να τους εκπροσωπούν</w:t>
            </w:r>
            <w:r w:rsidRPr="00ED4F46">
              <w:rPr>
                <w:lang w:val="el-GR" w:eastAsia="de-DE"/>
              </w:rPr>
              <w:t xml:space="preserve"> στις περιπτώσεις που είναι θύματα βασανιστηρίων και της κακής μεταχείρισης.</w:t>
            </w:r>
          </w:p>
          <w:p w:rsidR="000F64AE" w:rsidRDefault="00264283" w:rsidP="000248C7">
            <w:pPr>
              <w:pStyle w:val="BodyText"/>
              <w:rPr>
                <w:lang w:val="el-GR" w:eastAsia="de-DE"/>
              </w:rPr>
            </w:pPr>
            <w:r w:rsidRPr="00264283">
              <w:rPr>
                <w:lang w:val="el-GR" w:eastAsia="de-DE"/>
              </w:rPr>
              <w:t xml:space="preserve">Η μοναδική τεχνογνωσία των δικηγόρων τους δίνει τη δυνατότητα, πέρα από </w:t>
            </w:r>
            <w:r>
              <w:rPr>
                <w:lang w:val="el-GR" w:eastAsia="de-DE"/>
              </w:rPr>
              <w:t>τον</w:t>
            </w:r>
            <w:r w:rsidRPr="00264283">
              <w:rPr>
                <w:lang w:val="el-GR" w:eastAsia="de-DE"/>
              </w:rPr>
              <w:t xml:space="preserve"> προφανή ρόλο στη δημιουργία και τη λειτουργία αποτελεσματικού νομικού πλαισίου, </w:t>
            </w:r>
            <w:r>
              <w:rPr>
                <w:lang w:val="el-GR" w:eastAsia="de-DE"/>
              </w:rPr>
              <w:t>να</w:t>
            </w:r>
            <w:r w:rsidRPr="00264283">
              <w:rPr>
                <w:lang w:val="el-GR" w:eastAsia="de-DE"/>
              </w:rPr>
              <w:t xml:space="preserve"> έχουν σημαντικό αντίκτυπο στο κοινωνικό και πολιτικό τομέα, π.χ. μέσω δραστηριοτήτων υποστήριξης σε κυβερνητικούς αξιωματούχους, ή όταν η δράση τους συντονισ</w:t>
            </w:r>
            <w:r>
              <w:rPr>
                <w:lang w:val="el-GR" w:eastAsia="de-DE"/>
              </w:rPr>
              <w:t>τεί και να ενισχυθεί</w:t>
            </w:r>
            <w:r w:rsidRPr="00264283">
              <w:rPr>
                <w:lang w:val="el-GR" w:eastAsia="de-DE"/>
              </w:rPr>
              <w:t xml:space="preserve"> από μια ισχυρή σύνδεση με</w:t>
            </w:r>
            <w:r>
              <w:rPr>
                <w:lang w:val="el-GR" w:eastAsia="de-DE"/>
              </w:rPr>
              <w:t xml:space="preserve"> παράγοντες της</w:t>
            </w:r>
            <w:r w:rsidRPr="00264283">
              <w:rPr>
                <w:lang w:val="el-GR" w:eastAsia="de-DE"/>
              </w:rPr>
              <w:t xml:space="preserve"> κοινωνία</w:t>
            </w:r>
            <w:r>
              <w:rPr>
                <w:lang w:val="el-GR" w:eastAsia="de-DE"/>
              </w:rPr>
              <w:t>ς των πολιτών. Στη συνέχεια</w:t>
            </w:r>
            <w:r w:rsidRPr="00264283">
              <w:rPr>
                <w:lang w:val="el-GR" w:eastAsia="de-DE"/>
              </w:rPr>
              <w:t>, θα απεικονί</w:t>
            </w:r>
            <w:r>
              <w:rPr>
                <w:lang w:val="el-GR" w:eastAsia="de-DE"/>
              </w:rPr>
              <w:t xml:space="preserve">σουμε </w:t>
            </w:r>
            <w:r w:rsidRPr="00264283">
              <w:rPr>
                <w:lang w:val="el-GR" w:eastAsia="de-DE"/>
              </w:rPr>
              <w:t>τους διαφορετικούς ρόλους που μπορ</w:t>
            </w:r>
            <w:r>
              <w:rPr>
                <w:lang w:val="el-GR" w:eastAsia="de-DE"/>
              </w:rPr>
              <w:t>ούν να λάβουν</w:t>
            </w:r>
            <w:r w:rsidRPr="00264283">
              <w:rPr>
                <w:lang w:val="el-GR" w:eastAsia="de-DE"/>
              </w:rPr>
              <w:t xml:space="preserve"> για την καταπολέμηση των β</w:t>
            </w:r>
            <w:r>
              <w:rPr>
                <w:lang w:val="el-GR" w:eastAsia="de-DE"/>
              </w:rPr>
              <w:t xml:space="preserve">ασανιστηρίων και της κακής </w:t>
            </w:r>
            <w:r w:rsidRPr="00264283">
              <w:rPr>
                <w:lang w:val="el-GR" w:eastAsia="de-DE"/>
              </w:rPr>
              <w:t>μεταχείρισης.</w:t>
            </w:r>
          </w:p>
          <w:p w:rsidR="00D42F29" w:rsidRPr="002F2069" w:rsidRDefault="00D42F29" w:rsidP="000248C7">
            <w:pPr>
              <w:pStyle w:val="BodyText"/>
              <w:rPr>
                <w:lang w:val="el-GR" w:eastAsia="de-DE"/>
              </w:rPr>
            </w:pPr>
          </w:p>
          <w:p w:rsidR="000F64AE" w:rsidRPr="00E2673F" w:rsidRDefault="00785C46" w:rsidP="00621322">
            <w:pPr>
              <w:pStyle w:val="Heading1"/>
              <w:pBdr>
                <w:bottom w:val="none" w:sz="0" w:space="0" w:color="auto"/>
              </w:pBdr>
              <w:rPr>
                <w:lang w:val="en-GB" w:eastAsia="de-DE"/>
              </w:rPr>
            </w:pPr>
            <w:r>
              <w:rPr>
                <w:lang w:val="el-GR"/>
              </w:rPr>
              <w:t>Νομικό Πλαίσιο</w:t>
            </w:r>
          </w:p>
        </w:tc>
        <w:tc>
          <w:tcPr>
            <w:tcW w:w="2552" w:type="dxa"/>
            <w:tcMar>
              <w:left w:w="170" w:type="dxa"/>
            </w:tcMar>
          </w:tcPr>
          <w:p w:rsidR="000F64AE" w:rsidRPr="00785C46" w:rsidRDefault="00486F4A" w:rsidP="00486F4A">
            <w:pPr>
              <w:pStyle w:val="BodyText"/>
              <w:rPr>
                <w:i/>
                <w:lang w:val="el-GR"/>
              </w:rPr>
            </w:pPr>
            <w:r w:rsidRPr="00FF390C">
              <w:sym w:font="Wingdings" w:char="F026"/>
            </w:r>
            <w:r w:rsidRPr="00785C46">
              <w:rPr>
                <w:lang w:val="el-GR"/>
              </w:rPr>
              <w:t xml:space="preserve"> </w:t>
            </w:r>
            <w:r w:rsidR="00785C46">
              <w:rPr>
                <w:lang w:val="el-GR"/>
              </w:rPr>
              <w:t>Βλ:</w:t>
            </w:r>
            <w:r w:rsidRPr="00785C46">
              <w:rPr>
                <w:lang w:val="el-GR"/>
              </w:rPr>
              <w:t xml:space="preserve"> </w:t>
            </w:r>
            <w:r w:rsidRPr="00785C46">
              <w:rPr>
                <w:i/>
                <w:lang w:val="el-GR"/>
              </w:rPr>
              <w:t>“</w:t>
            </w:r>
            <w:r w:rsidR="00785C46">
              <w:rPr>
                <w:i/>
                <w:lang w:val="el-GR"/>
              </w:rPr>
              <w:t>Πρωτόκολλο της Κωνσταντινούπολης</w:t>
            </w:r>
            <w:r w:rsidRPr="00785C46">
              <w:rPr>
                <w:i/>
                <w:lang w:val="el-GR"/>
              </w:rPr>
              <w:t xml:space="preserve">, </w:t>
            </w:r>
            <w:r w:rsidR="00785C46">
              <w:rPr>
                <w:i/>
                <w:lang w:val="el-GR"/>
              </w:rPr>
              <w:t>Κεφάλαιο</w:t>
            </w:r>
            <w:r w:rsidRPr="00785C46">
              <w:rPr>
                <w:i/>
                <w:lang w:val="el-GR"/>
              </w:rPr>
              <w:t xml:space="preserve"> </w:t>
            </w:r>
            <w:r w:rsidRPr="00FF390C">
              <w:rPr>
                <w:i/>
                <w:lang w:val="en-US"/>
              </w:rPr>
              <w:t>III</w:t>
            </w:r>
            <w:r w:rsidRPr="00785C46">
              <w:rPr>
                <w:i/>
                <w:lang w:val="el-GR"/>
              </w:rPr>
              <w:t>.”</w:t>
            </w:r>
          </w:p>
          <w:p w:rsidR="00BA0A07" w:rsidRPr="00785C46" w:rsidRDefault="00BA0A07" w:rsidP="00486F4A">
            <w:pPr>
              <w:pStyle w:val="BodyText"/>
              <w:rPr>
                <w:i/>
                <w:lang w:val="el-GR"/>
              </w:rPr>
            </w:pPr>
          </w:p>
          <w:p w:rsidR="00BA0A07" w:rsidRPr="00785C46" w:rsidRDefault="00BA0A07" w:rsidP="00486F4A">
            <w:pPr>
              <w:pStyle w:val="BodyText"/>
              <w:rPr>
                <w:i/>
                <w:lang w:val="el-GR"/>
              </w:rPr>
            </w:pPr>
          </w:p>
          <w:p w:rsidR="00BA0A07" w:rsidRPr="00F775FB" w:rsidRDefault="00BA0A07" w:rsidP="00BA0A07">
            <w:pPr>
              <w:pStyle w:val="FormatvorlageTextkrperRechts05cm"/>
              <w:rPr>
                <w:rFonts w:cs="Calibri"/>
                <w:szCs w:val="22"/>
                <w:lang w:val="el-GR"/>
              </w:rPr>
            </w:pPr>
            <w:r w:rsidRPr="00973A30">
              <w:sym w:font="Wingdings" w:char="F026"/>
            </w:r>
            <w:r w:rsidRPr="00F775FB">
              <w:rPr>
                <w:lang w:val="el-GR"/>
              </w:rPr>
              <w:t xml:space="preserve"> </w:t>
            </w:r>
            <w:r w:rsidR="00F775FB">
              <w:rPr>
                <w:lang w:val="el-GR"/>
              </w:rPr>
              <w:t>Βλ</w:t>
            </w:r>
            <w:r w:rsidR="00F775FB" w:rsidRPr="00F775FB">
              <w:rPr>
                <w:lang w:val="el-GR"/>
              </w:rPr>
              <w:t xml:space="preserve">. </w:t>
            </w:r>
            <w:r w:rsidR="00F775FB">
              <w:rPr>
                <w:lang w:val="el-GR"/>
              </w:rPr>
              <w:t>επίσης</w:t>
            </w:r>
            <w:r w:rsidRPr="00F775FB">
              <w:rPr>
                <w:lang w:val="el-GR"/>
              </w:rPr>
              <w:t>: “</w:t>
            </w:r>
            <w:r w:rsidR="00F775FB">
              <w:rPr>
                <w:lang w:val="el-GR"/>
              </w:rPr>
              <w:t>Ο</w:t>
            </w:r>
            <w:r w:rsidR="00F775FB" w:rsidRPr="00F775FB">
              <w:rPr>
                <w:lang w:val="el-GR"/>
              </w:rPr>
              <w:t xml:space="preserve"> </w:t>
            </w:r>
            <w:r w:rsidR="00F775FB">
              <w:rPr>
                <w:lang w:val="el-GR"/>
              </w:rPr>
              <w:t>ρόλος</w:t>
            </w:r>
            <w:r w:rsidR="00F775FB" w:rsidRPr="00F775FB">
              <w:rPr>
                <w:lang w:val="el-GR"/>
              </w:rPr>
              <w:t xml:space="preserve"> </w:t>
            </w:r>
            <w:r w:rsidR="00F775FB">
              <w:rPr>
                <w:lang w:val="el-GR"/>
              </w:rPr>
              <w:t>των</w:t>
            </w:r>
            <w:r w:rsidR="00F775FB" w:rsidRPr="00F775FB">
              <w:rPr>
                <w:lang w:val="el-GR"/>
              </w:rPr>
              <w:t xml:space="preserve"> </w:t>
            </w:r>
            <w:r w:rsidR="00F775FB">
              <w:rPr>
                <w:lang w:val="el-GR"/>
              </w:rPr>
              <w:t>δικηγόρων</w:t>
            </w:r>
            <w:r w:rsidR="00F775FB" w:rsidRPr="00F775FB">
              <w:rPr>
                <w:lang w:val="el-GR"/>
              </w:rPr>
              <w:t xml:space="preserve"> </w:t>
            </w:r>
            <w:r w:rsidR="00F775FB">
              <w:rPr>
                <w:lang w:val="el-GR"/>
              </w:rPr>
              <w:t>στην</w:t>
            </w:r>
            <w:r w:rsidR="00F775FB" w:rsidRPr="00F775FB">
              <w:rPr>
                <w:lang w:val="el-GR"/>
              </w:rPr>
              <w:t xml:space="preserve"> </w:t>
            </w:r>
            <w:r w:rsidR="00F775FB">
              <w:rPr>
                <w:lang w:val="el-GR"/>
              </w:rPr>
              <w:t>πρόληψη των βασανιστηρίων, ΑΡΤ, 2008</w:t>
            </w:r>
            <w:r w:rsidR="00F775FB" w:rsidRPr="00F775FB">
              <w:rPr>
                <w:lang w:val="el-GR"/>
              </w:rPr>
              <w:t>”</w:t>
            </w:r>
          </w:p>
          <w:p w:rsidR="00BA0A07" w:rsidRPr="00F775FB" w:rsidRDefault="00BA0A07" w:rsidP="00BA0A07">
            <w:pPr>
              <w:pStyle w:val="BodyText"/>
              <w:rPr>
                <w:lang w:val="el-GR" w:eastAsia="de-DE"/>
              </w:rPr>
            </w:pPr>
          </w:p>
        </w:tc>
      </w:tr>
      <w:tr w:rsidR="000F64AE" w:rsidRPr="00344EA2" w:rsidTr="00987C22">
        <w:tc>
          <w:tcPr>
            <w:tcW w:w="7337" w:type="dxa"/>
          </w:tcPr>
          <w:p w:rsidR="00D81630" w:rsidRDefault="00D81630" w:rsidP="00E0161A">
            <w:pPr>
              <w:pStyle w:val="FormatvorlageTextkrperRechts05cm"/>
              <w:rPr>
                <w:lang w:val="el-GR"/>
              </w:rPr>
            </w:pPr>
            <w:r w:rsidRPr="00D81630">
              <w:rPr>
                <w:lang w:val="el-GR"/>
              </w:rPr>
              <w:t xml:space="preserve">Η εμφάνιση των βασανιστηρίων και της κακής μεταχείρισης μπορεί πρώτα </w:t>
            </w:r>
            <w:r>
              <w:rPr>
                <w:lang w:val="el-GR"/>
              </w:rPr>
              <w:lastRenderedPageBreak/>
              <w:t>να προληφθεί</w:t>
            </w:r>
            <w:r w:rsidRPr="00D81630">
              <w:rPr>
                <w:lang w:val="el-GR"/>
              </w:rPr>
              <w:t xml:space="preserve"> με ένα ισχυρό εγχώριο νομικό πλαίσιο, </w:t>
            </w:r>
            <w:r>
              <w:rPr>
                <w:lang w:val="el-GR"/>
              </w:rPr>
              <w:t>εφαρμόζοντας τις διεθνείς συνθήκες Ανθρωπίνων Δ</w:t>
            </w:r>
            <w:r w:rsidRPr="00D81630">
              <w:rPr>
                <w:lang w:val="el-GR"/>
              </w:rPr>
              <w:t xml:space="preserve">ικαιωμάτων </w:t>
            </w:r>
            <w:r>
              <w:rPr>
                <w:lang w:val="el-GR"/>
              </w:rPr>
              <w:t xml:space="preserve">που </w:t>
            </w:r>
            <w:r w:rsidRPr="00D81630">
              <w:rPr>
                <w:lang w:val="el-GR"/>
              </w:rPr>
              <w:t xml:space="preserve">η χώρα </w:t>
            </w:r>
            <w:r>
              <w:rPr>
                <w:lang w:val="el-GR"/>
              </w:rPr>
              <w:t xml:space="preserve">έχει </w:t>
            </w:r>
            <w:r w:rsidRPr="00D81630">
              <w:rPr>
                <w:lang w:val="el-GR"/>
              </w:rPr>
              <w:t xml:space="preserve">επικυρώσει. </w:t>
            </w:r>
            <w:r>
              <w:rPr>
                <w:lang w:val="el-GR"/>
              </w:rPr>
              <w:t>Οι δ</w:t>
            </w:r>
            <w:r w:rsidRPr="00D81630">
              <w:rPr>
                <w:lang w:val="el-GR"/>
              </w:rPr>
              <w:t>ικηγόροι μπορ</w:t>
            </w:r>
            <w:r>
              <w:rPr>
                <w:lang w:val="el-GR"/>
              </w:rPr>
              <w:t>ούν</w:t>
            </w:r>
            <w:r w:rsidRPr="00D81630">
              <w:rPr>
                <w:lang w:val="el-GR"/>
              </w:rPr>
              <w:t xml:space="preserve"> </w:t>
            </w:r>
            <w:r>
              <w:rPr>
                <w:lang w:val="el-GR"/>
              </w:rPr>
              <w:t>να συμβάλουν</w:t>
            </w:r>
            <w:r w:rsidRPr="00D81630">
              <w:rPr>
                <w:lang w:val="el-GR"/>
              </w:rPr>
              <w:t xml:space="preserve"> σημαντικά στη σύνταξη νόμων και κανονισμών και να συμπληρώσουν τις προτάσεις των</w:t>
            </w:r>
            <w:r>
              <w:rPr>
                <w:lang w:val="el-GR"/>
              </w:rPr>
              <w:t xml:space="preserve"> Κ</w:t>
            </w:r>
            <w:r w:rsidRPr="00D81630">
              <w:rPr>
                <w:lang w:val="el-GR"/>
              </w:rPr>
              <w:t xml:space="preserve">υβερνήσεων με ουσιαστικές </w:t>
            </w:r>
            <w:r>
              <w:rPr>
                <w:lang w:val="el-GR"/>
              </w:rPr>
              <w:t>υποδείξεις</w:t>
            </w:r>
            <w:r w:rsidRPr="00D81630">
              <w:rPr>
                <w:lang w:val="el-GR"/>
              </w:rPr>
              <w:t xml:space="preserve"> </w:t>
            </w:r>
            <w:r>
              <w:rPr>
                <w:lang w:val="el-GR"/>
              </w:rPr>
              <w:t xml:space="preserve"> </w:t>
            </w:r>
            <w:r w:rsidRPr="00D81630">
              <w:rPr>
                <w:lang w:val="el-GR"/>
              </w:rPr>
              <w:t xml:space="preserve">που προέρχονται από την εκπαίδευση και επαγγελματική τους πείρα. </w:t>
            </w:r>
            <w:r>
              <w:rPr>
                <w:lang w:val="el-GR"/>
              </w:rPr>
              <w:t>Οι νομικοί</w:t>
            </w:r>
            <w:r w:rsidRPr="00D81630">
              <w:rPr>
                <w:lang w:val="el-GR"/>
              </w:rPr>
              <w:t xml:space="preserve"> επαγγελματίες μπορούν επίσης να ενεργούν ως σύμβουλοι στο πλαίσιο της διαδικασίας εφαρμογής των διατάξεων και διασφαλίσεων κατά των βασανιστηρίων και της κακής μεταχείρισης.</w:t>
            </w:r>
          </w:p>
          <w:p w:rsidR="00B2454D" w:rsidRDefault="00B2454D" w:rsidP="00E0161A">
            <w:pPr>
              <w:pStyle w:val="FormatvorlageTextkrperRechts05cm"/>
              <w:rPr>
                <w:szCs w:val="22"/>
                <w:lang w:val="el-GR"/>
              </w:rPr>
            </w:pPr>
            <w:r w:rsidRPr="00B2454D">
              <w:rPr>
                <w:szCs w:val="22"/>
                <w:lang w:val="el-GR"/>
              </w:rPr>
              <w:t>Η ενσωμάτωση του εγκλήματος των βασανιστηρίων στην εθνική νομοθεσία σε συνδυασμό με κατάλληλες κυρώσεις, μια υποχρέωση που απορρέει από το άρθρο 4 της Σύμβασ</w:t>
            </w:r>
            <w:r>
              <w:rPr>
                <w:szCs w:val="22"/>
                <w:lang w:val="el-GR"/>
              </w:rPr>
              <w:t>ης των Ηνωμένων Εθνών κατά των Β</w:t>
            </w:r>
            <w:r w:rsidRPr="00B2454D">
              <w:rPr>
                <w:szCs w:val="22"/>
                <w:lang w:val="el-GR"/>
              </w:rPr>
              <w:t>ασανιστηρίων (</w:t>
            </w:r>
            <w:r w:rsidRPr="00B2454D">
              <w:rPr>
                <w:szCs w:val="22"/>
                <w:lang w:val="en-GB"/>
              </w:rPr>
              <w:t>UNCAT</w:t>
            </w:r>
            <w:r w:rsidRPr="00B2454D">
              <w:rPr>
                <w:szCs w:val="22"/>
                <w:lang w:val="el-GR"/>
              </w:rPr>
              <w:t xml:space="preserve">), είναι ένα θεμελιώδες βήμα προς την ποινικοποίηση των βασανιστηρίων </w:t>
            </w:r>
            <w:r>
              <w:rPr>
                <w:szCs w:val="22"/>
                <w:lang w:val="el-GR"/>
              </w:rPr>
              <w:t xml:space="preserve">για το οποίο </w:t>
            </w:r>
            <w:r w:rsidRPr="00B2454D">
              <w:rPr>
                <w:szCs w:val="22"/>
                <w:lang w:val="el-GR"/>
              </w:rPr>
              <w:t>οι δικη</w:t>
            </w:r>
            <w:r>
              <w:rPr>
                <w:szCs w:val="22"/>
                <w:lang w:val="el-GR"/>
              </w:rPr>
              <w:t>γόροι θα πρέπει να επιμείνουν</w:t>
            </w:r>
            <w:r w:rsidRPr="00B2454D">
              <w:rPr>
                <w:szCs w:val="22"/>
                <w:lang w:val="el-GR"/>
              </w:rPr>
              <w:t xml:space="preserve">. Όταν μια τέτοια διαδικασία ξεκινά, οι δικηγόροι θα πρέπει </w:t>
            </w:r>
            <w:r>
              <w:rPr>
                <w:szCs w:val="22"/>
                <w:lang w:val="el-GR"/>
              </w:rPr>
              <w:t>τότε να διασφαλίσουν</w:t>
            </w:r>
            <w:r w:rsidRPr="00B2454D">
              <w:rPr>
                <w:szCs w:val="22"/>
                <w:lang w:val="el-GR"/>
              </w:rPr>
              <w:t xml:space="preserve"> ότι ο ορισμός </w:t>
            </w:r>
            <w:r>
              <w:rPr>
                <w:szCs w:val="22"/>
                <w:lang w:val="el-GR"/>
              </w:rPr>
              <w:t>των</w:t>
            </w:r>
            <w:r w:rsidRPr="00B2454D">
              <w:rPr>
                <w:szCs w:val="22"/>
                <w:lang w:val="el-GR"/>
              </w:rPr>
              <w:t xml:space="preserve"> βασανιστηρίων</w:t>
            </w:r>
            <w:r>
              <w:rPr>
                <w:szCs w:val="22"/>
                <w:lang w:val="el-GR"/>
              </w:rPr>
              <w:t xml:space="preserve"> είναι σύμφωνος</w:t>
            </w:r>
            <w:r w:rsidRPr="00B2454D">
              <w:rPr>
                <w:szCs w:val="22"/>
                <w:lang w:val="el-GR"/>
              </w:rPr>
              <w:t xml:space="preserve"> με το άρθρο 1 </w:t>
            </w:r>
            <w:r>
              <w:rPr>
                <w:szCs w:val="22"/>
                <w:lang w:val="el-GR"/>
              </w:rPr>
              <w:t xml:space="preserve">της Σύμβασης του ΟΗΕ κατά των Βασανιστηρίων, </w:t>
            </w:r>
            <w:r w:rsidRPr="00B2454D">
              <w:rPr>
                <w:szCs w:val="22"/>
                <w:lang w:val="el-GR"/>
              </w:rPr>
              <w:t>συμβουλεύοντας</w:t>
            </w:r>
            <w:r>
              <w:rPr>
                <w:szCs w:val="22"/>
                <w:lang w:val="el-GR"/>
              </w:rPr>
              <w:t xml:space="preserve"> το όργανο σύνταξης του σχεδίου</w:t>
            </w:r>
            <w:r w:rsidRPr="00B2454D">
              <w:rPr>
                <w:szCs w:val="22"/>
                <w:lang w:val="el-GR"/>
              </w:rPr>
              <w:t xml:space="preserve"> ή σχολιάζοντας το σχέδιο κατά τη </w:t>
            </w:r>
            <w:r>
              <w:rPr>
                <w:szCs w:val="22"/>
                <w:lang w:val="el-GR"/>
              </w:rPr>
              <w:t>διαδικασία αξιολόγησης</w:t>
            </w:r>
            <w:r w:rsidRPr="00B2454D">
              <w:rPr>
                <w:szCs w:val="22"/>
                <w:lang w:val="el-GR"/>
              </w:rPr>
              <w:t>.</w:t>
            </w:r>
            <w:r>
              <w:rPr>
                <w:szCs w:val="22"/>
                <w:lang w:val="el-GR"/>
              </w:rPr>
              <w:t xml:space="preserve"> Οι δικηγόροι μπορούν</w:t>
            </w:r>
            <w:r w:rsidRPr="00B2454D">
              <w:rPr>
                <w:szCs w:val="22"/>
                <w:lang w:val="el-GR"/>
              </w:rPr>
              <w:t xml:space="preserve"> να διεξάγ</w:t>
            </w:r>
            <w:r>
              <w:rPr>
                <w:szCs w:val="22"/>
                <w:lang w:val="el-GR"/>
              </w:rPr>
              <w:t>ουν</w:t>
            </w:r>
            <w:r w:rsidRPr="00B2454D">
              <w:rPr>
                <w:szCs w:val="22"/>
                <w:lang w:val="el-GR"/>
              </w:rPr>
              <w:t xml:space="preserve"> συγκριτικές αναλύσεις των διεθνών και π</w:t>
            </w:r>
            <w:r w:rsidR="003C1F58">
              <w:rPr>
                <w:szCs w:val="22"/>
                <w:lang w:val="el-GR"/>
              </w:rPr>
              <w:t>εριφερειακών προτύπων άλλων περιοχών</w:t>
            </w:r>
            <w:r w:rsidRPr="00B2454D">
              <w:rPr>
                <w:szCs w:val="22"/>
                <w:lang w:val="el-GR"/>
              </w:rPr>
              <w:t xml:space="preserve"> </w:t>
            </w:r>
            <w:r w:rsidR="003C1F58">
              <w:rPr>
                <w:szCs w:val="22"/>
                <w:lang w:val="el-GR"/>
              </w:rPr>
              <w:t>του κόσμου</w:t>
            </w:r>
            <w:r w:rsidRPr="00B2454D">
              <w:rPr>
                <w:szCs w:val="22"/>
                <w:lang w:val="el-GR"/>
              </w:rPr>
              <w:t xml:space="preserve"> (π.χ. Ευρωπαϊκή Σύμβαση για τα Δικαιώματα του Ανθρώπου (ΕΣΔΑ), Αφρικανικό Χάρτη </w:t>
            </w:r>
            <w:r w:rsidR="003C1F58">
              <w:rPr>
                <w:szCs w:val="22"/>
                <w:lang w:val="el-GR"/>
              </w:rPr>
              <w:t>των Δικαιωμάτων του Ανθρώπου</w:t>
            </w:r>
            <w:r w:rsidRPr="00B2454D">
              <w:rPr>
                <w:szCs w:val="22"/>
                <w:lang w:val="el-GR"/>
              </w:rPr>
              <w:t xml:space="preserve"> και </w:t>
            </w:r>
            <w:r w:rsidR="003C1F58">
              <w:rPr>
                <w:szCs w:val="22"/>
                <w:lang w:val="el-GR"/>
              </w:rPr>
              <w:t>των Λαών</w:t>
            </w:r>
            <w:r w:rsidRPr="00B2454D">
              <w:rPr>
                <w:szCs w:val="22"/>
                <w:lang w:val="el-GR"/>
              </w:rPr>
              <w:t xml:space="preserve"> (</w:t>
            </w:r>
            <w:r w:rsidRPr="00B2454D">
              <w:rPr>
                <w:szCs w:val="22"/>
                <w:lang w:val="en-GB"/>
              </w:rPr>
              <w:t>ACHPR</w:t>
            </w:r>
            <w:r w:rsidRPr="00B2454D">
              <w:rPr>
                <w:szCs w:val="22"/>
                <w:lang w:val="el-GR"/>
              </w:rPr>
              <w:t xml:space="preserve">) ή την Αμερικανική Σύμβαση </w:t>
            </w:r>
            <w:r w:rsidR="003C1F58">
              <w:rPr>
                <w:szCs w:val="22"/>
                <w:lang w:val="el-GR"/>
              </w:rPr>
              <w:t>Δικαιωμάτων του Ανθρώπου</w:t>
            </w:r>
            <w:r w:rsidRPr="00B2454D">
              <w:rPr>
                <w:szCs w:val="22"/>
                <w:lang w:val="el-GR"/>
              </w:rPr>
              <w:t xml:space="preserve"> (</w:t>
            </w:r>
            <w:r w:rsidRPr="00B2454D">
              <w:rPr>
                <w:szCs w:val="22"/>
                <w:lang w:val="en-GB"/>
              </w:rPr>
              <w:t>ACHR</w:t>
            </w:r>
            <w:r w:rsidRPr="00B2454D">
              <w:rPr>
                <w:szCs w:val="22"/>
                <w:lang w:val="el-GR"/>
              </w:rPr>
              <w:t xml:space="preserve">)) και να βοηθήσει </w:t>
            </w:r>
            <w:r w:rsidR="003C1F58">
              <w:rPr>
                <w:szCs w:val="22"/>
                <w:lang w:val="el-GR"/>
              </w:rPr>
              <w:t>σ</w:t>
            </w:r>
            <w:r w:rsidRPr="00B2454D">
              <w:rPr>
                <w:szCs w:val="22"/>
                <w:lang w:val="el-GR"/>
              </w:rPr>
              <w:t>τη βελτίωση του περιεχομένου και της ποιότητας των εθνικών διατάξεων.</w:t>
            </w:r>
          </w:p>
          <w:p w:rsidR="009360FE" w:rsidRDefault="00987C22" w:rsidP="00E0161A">
            <w:pPr>
              <w:pStyle w:val="FormatvorlageTextkrperRechts05cm"/>
              <w:rPr>
                <w:szCs w:val="22"/>
                <w:lang w:val="el-GR"/>
              </w:rPr>
            </w:pPr>
            <w:r>
              <w:rPr>
                <w:szCs w:val="22"/>
                <w:lang w:val="el-GR"/>
              </w:rPr>
              <w:t>Αναφορικά</w:t>
            </w:r>
            <w:r w:rsidRPr="00987C22">
              <w:rPr>
                <w:szCs w:val="22"/>
                <w:lang w:val="el-GR"/>
              </w:rPr>
              <w:t xml:space="preserve"> </w:t>
            </w:r>
            <w:r w:rsidR="00845DF9">
              <w:rPr>
                <w:szCs w:val="22"/>
                <w:lang w:val="el-GR"/>
              </w:rPr>
              <w:t xml:space="preserve">με </w:t>
            </w:r>
            <w:r>
              <w:rPr>
                <w:szCs w:val="22"/>
                <w:lang w:val="el-GR"/>
              </w:rPr>
              <w:t>ένα πλήρες</w:t>
            </w:r>
            <w:r w:rsidRPr="00987C22">
              <w:rPr>
                <w:szCs w:val="22"/>
                <w:lang w:val="el-GR"/>
              </w:rPr>
              <w:t xml:space="preserve"> και </w:t>
            </w:r>
            <w:r>
              <w:rPr>
                <w:szCs w:val="22"/>
                <w:lang w:val="el-GR"/>
              </w:rPr>
              <w:t>ορθώς λειτουργικό νομικό πλαίσιο</w:t>
            </w:r>
            <w:r w:rsidRPr="00987C22">
              <w:rPr>
                <w:szCs w:val="22"/>
                <w:lang w:val="el-GR"/>
              </w:rPr>
              <w:t>, οι δικηγόροι θα πρέπει επίσης να παρατηρ</w:t>
            </w:r>
            <w:r>
              <w:rPr>
                <w:szCs w:val="22"/>
                <w:lang w:val="el-GR"/>
              </w:rPr>
              <w:t>ούν</w:t>
            </w:r>
            <w:r w:rsidRPr="00987C22">
              <w:rPr>
                <w:szCs w:val="22"/>
                <w:lang w:val="el-GR"/>
              </w:rPr>
              <w:t xml:space="preserve"> πάντα </w:t>
            </w:r>
            <w:r>
              <w:rPr>
                <w:szCs w:val="22"/>
                <w:lang w:val="el-GR"/>
              </w:rPr>
              <w:t>εά</w:t>
            </w:r>
            <w:r w:rsidRPr="00987C22">
              <w:rPr>
                <w:szCs w:val="22"/>
                <w:lang w:val="el-GR"/>
              </w:rPr>
              <w:t xml:space="preserve">ν </w:t>
            </w:r>
            <w:r>
              <w:rPr>
                <w:szCs w:val="22"/>
                <w:lang w:val="el-GR"/>
              </w:rPr>
              <w:t xml:space="preserve">βασικές κοινές αρχές </w:t>
            </w:r>
            <w:r w:rsidRPr="00987C22">
              <w:rPr>
                <w:szCs w:val="22"/>
                <w:lang w:val="el-GR"/>
              </w:rPr>
              <w:t xml:space="preserve">στον τομέα της πρόληψης των βασανιστηρίων, όπως είναι οι αρχές της οικουμενικής δικαιοδοσίας και της μη επαναπροώθησης, υπάρχουν και γίνονται σεβαστές, και </w:t>
            </w:r>
            <w:r>
              <w:rPr>
                <w:szCs w:val="22"/>
                <w:lang w:val="el-GR"/>
              </w:rPr>
              <w:t>αλλιώς να υποστηρίξουν την εισαγωγή τους στ</w:t>
            </w:r>
            <w:r w:rsidRPr="00987C22">
              <w:rPr>
                <w:szCs w:val="22"/>
                <w:lang w:val="el-GR"/>
              </w:rPr>
              <w:t>η</w:t>
            </w:r>
            <w:r>
              <w:rPr>
                <w:szCs w:val="22"/>
                <w:lang w:val="el-GR"/>
              </w:rPr>
              <w:t>ν</w:t>
            </w:r>
            <w:r w:rsidRPr="00987C22">
              <w:rPr>
                <w:szCs w:val="22"/>
                <w:lang w:val="el-GR"/>
              </w:rPr>
              <w:t xml:space="preserve"> εγχώρια νομοθεσία (βλ. παράγραφο 7 του παρόντος κεφαλαίου για περισσότερες λεπτομέρειες σχετικά με αυτό</w:t>
            </w:r>
            <w:r>
              <w:rPr>
                <w:szCs w:val="22"/>
                <w:lang w:val="el-GR"/>
              </w:rPr>
              <w:t xml:space="preserve"> το ζήτημα</w:t>
            </w:r>
            <w:r w:rsidRPr="00987C22">
              <w:rPr>
                <w:szCs w:val="22"/>
                <w:lang w:val="el-GR"/>
              </w:rPr>
              <w:t>).</w:t>
            </w:r>
          </w:p>
          <w:p w:rsidR="00D42F29" w:rsidRPr="00987C22" w:rsidRDefault="00D42F29" w:rsidP="00E0161A">
            <w:pPr>
              <w:pStyle w:val="FormatvorlageTextkrperRechts05cm"/>
              <w:rPr>
                <w:szCs w:val="22"/>
                <w:lang w:val="el-GR"/>
              </w:rPr>
            </w:pPr>
          </w:p>
        </w:tc>
        <w:tc>
          <w:tcPr>
            <w:tcW w:w="2552" w:type="dxa"/>
            <w:shd w:val="clear" w:color="auto" w:fill="FFFFFF"/>
            <w:tcMar>
              <w:left w:w="170" w:type="dxa"/>
            </w:tcMar>
          </w:tcPr>
          <w:p w:rsidR="00E86E48" w:rsidRDefault="00973A30" w:rsidP="00E86E48">
            <w:pPr>
              <w:pStyle w:val="Didacticremark"/>
              <w:numPr>
                <w:ilvl w:val="0"/>
                <w:numId w:val="0"/>
              </w:numPr>
              <w:rPr>
                <w:i w:val="0"/>
              </w:rPr>
            </w:pPr>
            <w:r w:rsidRPr="00973A30">
              <w:rPr>
                <w:i w:val="0"/>
              </w:rPr>
              <w:lastRenderedPageBreak/>
              <w:sym w:font="Wingdings" w:char="F026"/>
            </w:r>
            <w:r w:rsidR="00344EA2">
              <w:rPr>
                <w:i w:val="0"/>
                <w:lang w:val="el-GR"/>
              </w:rPr>
              <w:t>Βλ</w:t>
            </w:r>
            <w:r w:rsidR="00344EA2" w:rsidRPr="00344EA2">
              <w:rPr>
                <w:i w:val="0"/>
              </w:rPr>
              <w:t xml:space="preserve">. </w:t>
            </w:r>
            <w:r w:rsidR="00344EA2">
              <w:rPr>
                <w:i w:val="0"/>
                <w:lang w:val="el-GR"/>
              </w:rPr>
              <w:t>επίσης</w:t>
            </w:r>
            <w:r w:rsidR="0053615B">
              <w:rPr>
                <w:i w:val="0"/>
              </w:rPr>
              <w:t xml:space="preserve">: </w:t>
            </w:r>
            <w:r w:rsidR="00E86E48" w:rsidRPr="000B420A">
              <w:lastRenderedPageBreak/>
              <w:t>“Preventing Torture – An Operational Guide for National Human Rights Institutions”</w:t>
            </w:r>
            <w:r w:rsidR="00E86E48">
              <w:rPr>
                <w:i w:val="0"/>
              </w:rPr>
              <w:t>; 2010; OHCHR, APT, APF</w:t>
            </w:r>
          </w:p>
          <w:p w:rsidR="00BA0A07" w:rsidRDefault="00BA0A07" w:rsidP="00E86E48">
            <w:pPr>
              <w:pStyle w:val="Didacticremark"/>
              <w:numPr>
                <w:ilvl w:val="0"/>
                <w:numId w:val="0"/>
              </w:numPr>
              <w:rPr>
                <w:i w:val="0"/>
              </w:rPr>
            </w:pPr>
          </w:p>
          <w:p w:rsidR="008A2773" w:rsidRDefault="008A2773" w:rsidP="00CB57BD">
            <w:pPr>
              <w:pStyle w:val="Didacticremark"/>
              <w:numPr>
                <w:ilvl w:val="0"/>
                <w:numId w:val="0"/>
              </w:numPr>
              <w:rPr>
                <w:i w:val="0"/>
              </w:rPr>
            </w:pPr>
          </w:p>
          <w:p w:rsidR="008A2773" w:rsidRDefault="008A2773" w:rsidP="00CB57BD">
            <w:pPr>
              <w:pStyle w:val="Didacticremark"/>
              <w:numPr>
                <w:ilvl w:val="0"/>
                <w:numId w:val="0"/>
              </w:numPr>
              <w:rPr>
                <w:i w:val="0"/>
              </w:rPr>
            </w:pPr>
          </w:p>
          <w:p w:rsidR="008A2773" w:rsidRPr="00344EA2" w:rsidRDefault="00D13A82" w:rsidP="00344EA2">
            <w:pPr>
              <w:pStyle w:val="DidacticremarkNote"/>
              <w:numPr>
                <w:ilvl w:val="0"/>
                <w:numId w:val="0"/>
              </w:numPr>
              <w:rPr>
                <w:lang w:val="el-GR"/>
              </w:rPr>
            </w:pPr>
            <w:r w:rsidRPr="00973A30">
              <w:rPr>
                <w:i w:val="0"/>
              </w:rPr>
              <w:sym w:font="Wingdings" w:char="F026"/>
            </w:r>
            <w:r w:rsidR="00344EA2">
              <w:rPr>
                <w:i w:val="0"/>
                <w:lang w:val="el-GR"/>
              </w:rPr>
              <w:t>Βλ</w:t>
            </w:r>
            <w:r w:rsidR="00344EA2" w:rsidRPr="00344EA2">
              <w:rPr>
                <w:i w:val="0"/>
                <w:lang w:val="el-GR"/>
              </w:rPr>
              <w:t xml:space="preserve">. </w:t>
            </w:r>
            <w:r w:rsidR="00344EA2">
              <w:rPr>
                <w:i w:val="0"/>
                <w:lang w:val="el-GR"/>
              </w:rPr>
              <w:t>Περισσότερα</w:t>
            </w:r>
            <w:r w:rsidR="00344EA2" w:rsidRPr="00344EA2">
              <w:rPr>
                <w:i w:val="0"/>
                <w:lang w:val="el-GR"/>
              </w:rPr>
              <w:t xml:space="preserve"> </w:t>
            </w:r>
            <w:r w:rsidR="00344EA2">
              <w:rPr>
                <w:i w:val="0"/>
                <w:lang w:val="el-GR"/>
              </w:rPr>
              <w:t>πάνω</w:t>
            </w:r>
            <w:r w:rsidR="00344EA2" w:rsidRPr="00344EA2">
              <w:rPr>
                <w:i w:val="0"/>
                <w:lang w:val="el-GR"/>
              </w:rPr>
              <w:t xml:space="preserve"> </w:t>
            </w:r>
            <w:r w:rsidR="00344EA2">
              <w:rPr>
                <w:i w:val="0"/>
                <w:lang w:val="el-GR"/>
              </w:rPr>
              <w:t>στις</w:t>
            </w:r>
            <w:r w:rsidR="00344EA2" w:rsidRPr="00344EA2">
              <w:rPr>
                <w:i w:val="0"/>
                <w:lang w:val="el-GR"/>
              </w:rPr>
              <w:t xml:space="preserve"> </w:t>
            </w:r>
            <w:r w:rsidR="00344EA2">
              <w:rPr>
                <w:i w:val="0"/>
                <w:lang w:val="el-GR"/>
              </w:rPr>
              <w:t>υποχρεώσεις</w:t>
            </w:r>
            <w:r w:rsidR="00344EA2" w:rsidRPr="00344EA2">
              <w:rPr>
                <w:i w:val="0"/>
                <w:lang w:val="el-GR"/>
              </w:rPr>
              <w:t xml:space="preserve"> </w:t>
            </w:r>
            <w:r w:rsidR="00344EA2">
              <w:rPr>
                <w:i w:val="0"/>
                <w:lang w:val="el-GR"/>
              </w:rPr>
              <w:t>που</w:t>
            </w:r>
            <w:r w:rsidR="00344EA2" w:rsidRPr="00344EA2">
              <w:rPr>
                <w:i w:val="0"/>
                <w:lang w:val="el-GR"/>
              </w:rPr>
              <w:t xml:space="preserve"> </w:t>
            </w:r>
            <w:r w:rsidR="00344EA2">
              <w:rPr>
                <w:i w:val="0"/>
                <w:lang w:val="el-GR"/>
              </w:rPr>
              <w:t>απορρέουν</w:t>
            </w:r>
            <w:r w:rsidR="00344EA2" w:rsidRPr="00344EA2">
              <w:rPr>
                <w:i w:val="0"/>
                <w:lang w:val="el-GR"/>
              </w:rPr>
              <w:t xml:space="preserve"> </w:t>
            </w:r>
            <w:r w:rsidR="00344EA2">
              <w:rPr>
                <w:i w:val="0"/>
                <w:lang w:val="el-GR"/>
              </w:rPr>
              <w:t>από</w:t>
            </w:r>
            <w:r w:rsidR="00344EA2" w:rsidRPr="00344EA2">
              <w:rPr>
                <w:i w:val="0"/>
                <w:lang w:val="el-GR"/>
              </w:rPr>
              <w:t xml:space="preserve"> </w:t>
            </w:r>
            <w:r w:rsidR="00344EA2">
              <w:rPr>
                <w:i w:val="0"/>
                <w:lang w:val="el-GR"/>
              </w:rPr>
              <w:t>την</w:t>
            </w:r>
            <w:r w:rsidR="00344EA2" w:rsidRPr="00344EA2">
              <w:rPr>
                <w:i w:val="0"/>
                <w:lang w:val="el-GR"/>
              </w:rPr>
              <w:t xml:space="preserve"> </w:t>
            </w:r>
            <w:r w:rsidR="00344EA2">
              <w:rPr>
                <w:i w:val="0"/>
                <w:lang w:val="el-GR"/>
              </w:rPr>
              <w:t>Σύμβαση</w:t>
            </w:r>
            <w:r w:rsidR="00344EA2" w:rsidRPr="00344EA2">
              <w:rPr>
                <w:i w:val="0"/>
                <w:lang w:val="el-GR"/>
              </w:rPr>
              <w:t xml:space="preserve"> </w:t>
            </w:r>
            <w:r w:rsidR="00344EA2">
              <w:rPr>
                <w:i w:val="0"/>
                <w:lang w:val="el-GR"/>
              </w:rPr>
              <w:t>του</w:t>
            </w:r>
            <w:r w:rsidR="00344EA2" w:rsidRPr="00344EA2">
              <w:rPr>
                <w:i w:val="0"/>
                <w:lang w:val="el-GR"/>
              </w:rPr>
              <w:t xml:space="preserve"> </w:t>
            </w:r>
            <w:r w:rsidR="00344EA2">
              <w:rPr>
                <w:i w:val="0"/>
                <w:lang w:val="el-GR"/>
              </w:rPr>
              <w:t>ΟΗΕ</w:t>
            </w:r>
            <w:r w:rsidR="00344EA2" w:rsidRPr="00344EA2">
              <w:rPr>
                <w:i w:val="0"/>
                <w:lang w:val="el-GR"/>
              </w:rPr>
              <w:t xml:space="preserve"> </w:t>
            </w:r>
            <w:r w:rsidR="00344EA2">
              <w:rPr>
                <w:i w:val="0"/>
                <w:lang w:val="el-GR"/>
              </w:rPr>
              <w:t>κατά</w:t>
            </w:r>
            <w:r w:rsidR="00344EA2" w:rsidRPr="00344EA2">
              <w:rPr>
                <w:i w:val="0"/>
                <w:lang w:val="el-GR"/>
              </w:rPr>
              <w:t xml:space="preserve"> </w:t>
            </w:r>
            <w:r w:rsidR="00344EA2">
              <w:rPr>
                <w:i w:val="0"/>
                <w:lang w:val="el-GR"/>
              </w:rPr>
              <w:t>των</w:t>
            </w:r>
            <w:r w:rsidR="00344EA2" w:rsidRPr="00344EA2">
              <w:rPr>
                <w:i w:val="0"/>
                <w:lang w:val="el-GR"/>
              </w:rPr>
              <w:t xml:space="preserve"> </w:t>
            </w:r>
            <w:r w:rsidR="00344EA2">
              <w:rPr>
                <w:i w:val="0"/>
                <w:lang w:val="el-GR"/>
              </w:rPr>
              <w:t>Βασανιστηρίων</w:t>
            </w:r>
            <w:r w:rsidR="00344EA2" w:rsidRPr="00344EA2">
              <w:rPr>
                <w:i w:val="0"/>
                <w:lang w:val="el-GR"/>
              </w:rPr>
              <w:t xml:space="preserve"> </w:t>
            </w:r>
            <w:r w:rsidR="00344EA2">
              <w:rPr>
                <w:i w:val="0"/>
                <w:lang w:val="el-GR"/>
              </w:rPr>
              <w:t>στο</w:t>
            </w:r>
            <w:r w:rsidR="00344EA2" w:rsidRPr="00344EA2">
              <w:rPr>
                <w:i w:val="0"/>
                <w:lang w:val="el-GR"/>
              </w:rPr>
              <w:t xml:space="preserve"> </w:t>
            </w:r>
            <w:r w:rsidR="00344EA2">
              <w:rPr>
                <w:i w:val="0"/>
                <w:lang w:val="el-GR"/>
              </w:rPr>
              <w:t>κεφάλαιο 3 της παρούσας σειράς</w:t>
            </w:r>
          </w:p>
        </w:tc>
      </w:tr>
      <w:tr w:rsidR="000F64AE" w:rsidRPr="00621322" w:rsidTr="00F54D6C">
        <w:tc>
          <w:tcPr>
            <w:tcW w:w="7337" w:type="dxa"/>
          </w:tcPr>
          <w:p w:rsidR="000F64AE" w:rsidRPr="00157134" w:rsidRDefault="00785C46" w:rsidP="00F54D6C">
            <w:pPr>
              <w:pStyle w:val="Heading1"/>
            </w:pPr>
            <w:r w:rsidRPr="00785C46">
              <w:lastRenderedPageBreak/>
              <w:t>Εκπροσώπηση των Κρατουμένων</w:t>
            </w:r>
          </w:p>
        </w:tc>
        <w:tc>
          <w:tcPr>
            <w:tcW w:w="2552" w:type="dxa"/>
            <w:tcMar>
              <w:left w:w="170" w:type="dxa"/>
            </w:tcMar>
          </w:tcPr>
          <w:p w:rsidR="000F64AE" w:rsidRPr="00FB4875" w:rsidRDefault="000F64AE" w:rsidP="00F54D6C">
            <w:pPr>
              <w:pStyle w:val="Heading1"/>
              <w:numPr>
                <w:ilvl w:val="0"/>
                <w:numId w:val="0"/>
              </w:numPr>
              <w:ind w:left="360"/>
            </w:pPr>
          </w:p>
        </w:tc>
      </w:tr>
      <w:tr w:rsidR="000F64AE" w:rsidRPr="003C1833" w:rsidTr="00F54D6C">
        <w:tc>
          <w:tcPr>
            <w:tcW w:w="7337" w:type="dxa"/>
          </w:tcPr>
          <w:p w:rsidR="00323240" w:rsidRDefault="00323240" w:rsidP="00E2673F">
            <w:pPr>
              <w:pStyle w:val="FormatvorlageTextkrperRechts05cm"/>
              <w:rPr>
                <w:lang w:val="el-GR"/>
              </w:rPr>
            </w:pPr>
            <w:r w:rsidRPr="00323240">
              <w:rPr>
                <w:lang w:val="el-GR"/>
              </w:rPr>
              <w:t>Δικονομικές εγγυήσεις, π</w:t>
            </w:r>
            <w:r>
              <w:rPr>
                <w:lang w:val="el-GR"/>
              </w:rPr>
              <w:t>.χ. το δικαίωμα σε δίκαιη δίκη και το δικαίωμα σ</w:t>
            </w:r>
            <w:r w:rsidRPr="00323240">
              <w:rPr>
                <w:lang w:val="el-GR"/>
              </w:rPr>
              <w:t xml:space="preserve">την προστασία των </w:t>
            </w:r>
            <w:r>
              <w:rPr>
                <w:lang w:val="el-GR"/>
              </w:rPr>
              <w:t>κρατουμένων</w:t>
            </w:r>
            <w:r w:rsidRPr="00323240">
              <w:rPr>
                <w:lang w:val="el-GR"/>
              </w:rPr>
              <w:t xml:space="preserve"> </w:t>
            </w:r>
            <w:r>
              <w:rPr>
                <w:lang w:val="el-GR"/>
              </w:rPr>
              <w:t>από τη στιγμή της σύλληψής τους</w:t>
            </w:r>
            <w:r w:rsidRPr="00323240">
              <w:rPr>
                <w:lang w:val="el-GR"/>
              </w:rPr>
              <w:t xml:space="preserve"> περιέχ</w:t>
            </w:r>
            <w:r>
              <w:rPr>
                <w:lang w:val="el-GR"/>
              </w:rPr>
              <w:t>ονται σε αρκετές</w:t>
            </w:r>
            <w:r w:rsidRPr="00323240">
              <w:rPr>
                <w:lang w:val="el-GR"/>
              </w:rPr>
              <w:t xml:space="preserve"> διεθν</w:t>
            </w:r>
            <w:r>
              <w:rPr>
                <w:lang w:val="el-GR"/>
              </w:rPr>
              <w:t>είς πράξεις. Αυτές οι εγγυήσεις αποτελούν</w:t>
            </w:r>
            <w:r w:rsidRPr="00323240">
              <w:rPr>
                <w:lang w:val="el-GR"/>
              </w:rPr>
              <w:t xml:space="preserve">, μαζί με την εθνική νομοθεσία, </w:t>
            </w:r>
            <w:r>
              <w:rPr>
                <w:lang w:val="el-GR"/>
              </w:rPr>
              <w:t>τ</w:t>
            </w:r>
            <w:r w:rsidRPr="00323240">
              <w:rPr>
                <w:lang w:val="el-GR"/>
              </w:rPr>
              <w:t xml:space="preserve">η βάση για τους δικηγόρους στο έργο </w:t>
            </w:r>
            <w:r>
              <w:rPr>
                <w:lang w:val="el-GR"/>
              </w:rPr>
              <w:t>της εκπροσώπησης των κρατουμένων</w:t>
            </w:r>
            <w:r w:rsidRPr="00323240">
              <w:rPr>
                <w:lang w:val="el-GR"/>
              </w:rPr>
              <w:t xml:space="preserve">. Μεταξύ άλλων, το άρθρο 14 του Διεθνούς Συμφώνου για τα Ατομικά και Πολιτικά Δικαιώματα (ICCPR) εγγυάται και προστατεύει το δικαίωμα στη δικαιοσύνη και </w:t>
            </w:r>
            <w:r>
              <w:rPr>
                <w:lang w:val="el-GR"/>
              </w:rPr>
              <w:t>σε</w:t>
            </w:r>
            <w:r w:rsidRPr="00323240">
              <w:rPr>
                <w:lang w:val="el-GR"/>
              </w:rPr>
              <w:t xml:space="preserve"> δίκαιη δίκη. Παρόμοι</w:t>
            </w:r>
            <w:r>
              <w:rPr>
                <w:lang w:val="el-GR"/>
              </w:rPr>
              <w:t xml:space="preserve">α δικαιώματα </w:t>
            </w:r>
            <w:r w:rsidRPr="00323240">
              <w:rPr>
                <w:lang w:val="el-GR"/>
              </w:rPr>
              <w:t xml:space="preserve">περιλαμβάνονται στις </w:t>
            </w:r>
            <w:r>
              <w:rPr>
                <w:lang w:val="el-GR"/>
              </w:rPr>
              <w:t>Β</w:t>
            </w:r>
            <w:r w:rsidRPr="00323240">
              <w:rPr>
                <w:lang w:val="el-GR"/>
              </w:rPr>
              <w:t xml:space="preserve">ασικές </w:t>
            </w:r>
            <w:r>
              <w:rPr>
                <w:lang w:val="el-GR"/>
              </w:rPr>
              <w:t>Α</w:t>
            </w:r>
            <w:r w:rsidRPr="00323240">
              <w:rPr>
                <w:lang w:val="el-GR"/>
              </w:rPr>
              <w:t xml:space="preserve">ρχές σχετικά με το </w:t>
            </w:r>
            <w:r>
              <w:rPr>
                <w:lang w:val="el-GR"/>
              </w:rPr>
              <w:lastRenderedPageBreak/>
              <w:t>Ρ</w:t>
            </w:r>
            <w:r w:rsidRPr="00323240">
              <w:rPr>
                <w:lang w:val="el-GR"/>
              </w:rPr>
              <w:t xml:space="preserve">όλο των </w:t>
            </w:r>
            <w:r>
              <w:rPr>
                <w:lang w:val="el-GR"/>
              </w:rPr>
              <w:t>Δικηγόρων,</w:t>
            </w:r>
            <w:r w:rsidRPr="00323240">
              <w:rPr>
                <w:lang w:val="el-GR"/>
              </w:rPr>
              <w:t xml:space="preserve"> </w:t>
            </w:r>
            <w:r>
              <w:rPr>
                <w:lang w:val="el-GR"/>
              </w:rPr>
              <w:t>σ</w:t>
            </w:r>
            <w:r w:rsidRPr="00323240">
              <w:rPr>
                <w:lang w:val="el-GR"/>
              </w:rPr>
              <w:t xml:space="preserve">τους </w:t>
            </w:r>
            <w:r>
              <w:rPr>
                <w:lang w:val="el-GR"/>
              </w:rPr>
              <w:t>Ε</w:t>
            </w:r>
            <w:r w:rsidRPr="00323240">
              <w:rPr>
                <w:lang w:val="el-GR"/>
              </w:rPr>
              <w:t xml:space="preserve">υρωπαϊκούς </w:t>
            </w:r>
            <w:r>
              <w:rPr>
                <w:lang w:val="el-GR"/>
              </w:rPr>
              <w:t>Σ</w:t>
            </w:r>
            <w:r w:rsidRPr="00323240">
              <w:rPr>
                <w:lang w:val="el-GR"/>
              </w:rPr>
              <w:t xml:space="preserve">ωφρονιστικούς </w:t>
            </w:r>
            <w:r>
              <w:rPr>
                <w:lang w:val="el-GR"/>
              </w:rPr>
              <w:t>Κ</w:t>
            </w:r>
            <w:r w:rsidRPr="00323240">
              <w:rPr>
                <w:lang w:val="el-GR"/>
              </w:rPr>
              <w:t xml:space="preserve">ανόνες (άρθρο 23), και </w:t>
            </w:r>
            <w:r>
              <w:rPr>
                <w:lang w:val="el-GR"/>
              </w:rPr>
              <w:t>στα τυποποιημένους στοιχειώδεις κανόνες</w:t>
            </w:r>
            <w:r w:rsidRPr="00323240">
              <w:rPr>
                <w:lang w:val="el-GR"/>
              </w:rPr>
              <w:t xml:space="preserve"> για τη μεταχείριση των κρατουμένων (άρθρο 93), καθώς και σε περιφερειακές συμβάσεις, όπως η ΕΣΔΑ (άρθρο 6),</w:t>
            </w:r>
            <w:r w:rsidRPr="00B2454D">
              <w:rPr>
                <w:szCs w:val="22"/>
                <w:lang w:val="el-GR"/>
              </w:rPr>
              <w:t xml:space="preserve"> </w:t>
            </w:r>
            <w:r>
              <w:rPr>
                <w:szCs w:val="22"/>
                <w:lang w:val="el-GR"/>
              </w:rPr>
              <w:t>η</w:t>
            </w:r>
            <w:r w:rsidRPr="00B2454D">
              <w:rPr>
                <w:szCs w:val="22"/>
                <w:lang w:val="el-GR"/>
              </w:rPr>
              <w:t xml:space="preserve"> Αμερικανική Σύμβαση </w:t>
            </w:r>
            <w:r>
              <w:rPr>
                <w:szCs w:val="22"/>
                <w:lang w:val="el-GR"/>
              </w:rPr>
              <w:t>Δικαιωμάτων του Ανθρώπου</w:t>
            </w:r>
            <w:r w:rsidRPr="00323240">
              <w:rPr>
                <w:lang w:val="el-GR"/>
              </w:rPr>
              <w:t xml:space="preserve">(άρθρο 8) και </w:t>
            </w:r>
            <w:r>
              <w:rPr>
                <w:lang w:val="el-GR"/>
              </w:rPr>
              <w:t xml:space="preserve">ο </w:t>
            </w:r>
            <w:r w:rsidRPr="00B2454D">
              <w:rPr>
                <w:szCs w:val="22"/>
                <w:lang w:val="el-GR"/>
              </w:rPr>
              <w:t>Αφρικανικό</w:t>
            </w:r>
            <w:r>
              <w:rPr>
                <w:szCs w:val="22"/>
                <w:lang w:val="el-GR"/>
              </w:rPr>
              <w:t>ς</w:t>
            </w:r>
            <w:r w:rsidRPr="00B2454D">
              <w:rPr>
                <w:szCs w:val="22"/>
                <w:lang w:val="el-GR"/>
              </w:rPr>
              <w:t xml:space="preserve"> Χάρτη</w:t>
            </w:r>
            <w:r>
              <w:rPr>
                <w:szCs w:val="22"/>
                <w:lang w:val="el-GR"/>
              </w:rPr>
              <w:t>ς</w:t>
            </w:r>
            <w:r w:rsidRPr="00B2454D">
              <w:rPr>
                <w:szCs w:val="22"/>
                <w:lang w:val="el-GR"/>
              </w:rPr>
              <w:t xml:space="preserve"> </w:t>
            </w:r>
            <w:r>
              <w:rPr>
                <w:szCs w:val="22"/>
                <w:lang w:val="el-GR"/>
              </w:rPr>
              <w:t>των Δικαιωμάτων του Ανθρώπου</w:t>
            </w:r>
            <w:r w:rsidRPr="00B2454D">
              <w:rPr>
                <w:szCs w:val="22"/>
                <w:lang w:val="el-GR"/>
              </w:rPr>
              <w:t xml:space="preserve"> και </w:t>
            </w:r>
            <w:r>
              <w:rPr>
                <w:szCs w:val="22"/>
                <w:lang w:val="el-GR"/>
              </w:rPr>
              <w:t>των Λαών (άρθρο 7)</w:t>
            </w:r>
          </w:p>
          <w:p w:rsidR="00323240" w:rsidRDefault="00323240" w:rsidP="00F12F22">
            <w:pPr>
              <w:pStyle w:val="FormatvorlageTextkrperRechts05cm"/>
              <w:rPr>
                <w:lang w:val="el-GR"/>
              </w:rPr>
            </w:pPr>
            <w:r w:rsidRPr="00323240">
              <w:rPr>
                <w:lang w:val="el-GR"/>
              </w:rPr>
              <w:t xml:space="preserve">Οι διεθνείς, περιφερειακές και εθνικές υποχρεώσεις στην κατοχύρωση του δικαιώματος πρόσβασης στη δικαιοσύνη και σε δίκαιη δίκη ορίζουν μια σειρά από βασικές αρχές για τη μείωση του </w:t>
            </w:r>
            <w:r>
              <w:rPr>
                <w:lang w:val="el-GR"/>
              </w:rPr>
              <w:t>επιπολασμού των</w:t>
            </w:r>
            <w:r w:rsidRPr="00323240">
              <w:rPr>
                <w:lang w:val="el-GR"/>
              </w:rPr>
              <w:t xml:space="preserve"> βασανιστηρίων και της κακής μεταχείρισης, όπως το δικαίωμα </w:t>
            </w:r>
            <w:r w:rsidR="009F0C61">
              <w:rPr>
                <w:lang w:val="el-GR"/>
              </w:rPr>
              <w:t>της μη αυτοενοχοποίησης</w:t>
            </w:r>
            <w:r w:rsidRPr="00323240">
              <w:rPr>
                <w:lang w:val="el-GR"/>
              </w:rPr>
              <w:t>, η απαγόρευση στη χρήση καταναγκαστικής ομολογί</w:t>
            </w:r>
            <w:r w:rsidR="009F0C61">
              <w:rPr>
                <w:lang w:val="el-GR"/>
              </w:rPr>
              <w:t>ας σε δίκες</w:t>
            </w:r>
            <w:r w:rsidRPr="00323240">
              <w:rPr>
                <w:lang w:val="el-GR"/>
              </w:rPr>
              <w:t xml:space="preserve">, ή το δικαίωμα </w:t>
            </w:r>
            <w:r w:rsidR="009F0C61">
              <w:rPr>
                <w:lang w:val="el-GR"/>
              </w:rPr>
              <w:t xml:space="preserve">αυτοπρόσωπης </w:t>
            </w:r>
            <w:r w:rsidRPr="00323240">
              <w:rPr>
                <w:lang w:val="el-GR"/>
              </w:rPr>
              <w:t>υπερ</w:t>
            </w:r>
            <w:r w:rsidR="009F0C61">
              <w:rPr>
                <w:lang w:val="el-GR"/>
              </w:rPr>
              <w:t>άσπισης</w:t>
            </w:r>
            <w:r w:rsidRPr="00323240">
              <w:rPr>
                <w:lang w:val="el-GR"/>
              </w:rPr>
              <w:t xml:space="preserve"> ή </w:t>
            </w:r>
            <w:r w:rsidR="009F0C61">
              <w:rPr>
                <w:lang w:val="el-GR"/>
              </w:rPr>
              <w:t xml:space="preserve">υπεράσπισης μέσω </w:t>
            </w:r>
            <w:r w:rsidRPr="00323240">
              <w:rPr>
                <w:lang w:val="el-GR"/>
              </w:rPr>
              <w:t>νομικής βοήθειας.</w:t>
            </w:r>
          </w:p>
          <w:p w:rsidR="009557AB" w:rsidRDefault="009557AB" w:rsidP="00F12F22">
            <w:pPr>
              <w:pStyle w:val="FormatvorlageTextkrperRechts05cm"/>
              <w:rPr>
                <w:lang w:val="el-GR"/>
              </w:rPr>
            </w:pPr>
            <w:r w:rsidRPr="009557AB">
              <w:rPr>
                <w:lang w:val="el-GR"/>
              </w:rPr>
              <w:t>Από την πρώτη κιόλας στιγμή της στέρησης της ελευθερίας, οι κρατ</w:t>
            </w:r>
            <w:r>
              <w:rPr>
                <w:lang w:val="el-GR"/>
              </w:rPr>
              <w:t>ούμενοι είναι ιδιαίτερα επιρρεπείς</w:t>
            </w:r>
            <w:r w:rsidRPr="009557AB">
              <w:rPr>
                <w:lang w:val="el-GR"/>
              </w:rPr>
              <w:t xml:space="preserve"> σε παραβιάσεις των θεμελιωδών δικαιωμάτων τους και την εγγενή αξιοπρέπειά τους, γεγονός </w:t>
            </w:r>
            <w:r>
              <w:rPr>
                <w:lang w:val="el-GR"/>
              </w:rPr>
              <w:t xml:space="preserve">που </w:t>
            </w:r>
            <w:r w:rsidRPr="009557AB">
              <w:rPr>
                <w:lang w:val="el-GR"/>
              </w:rPr>
              <w:t xml:space="preserve">οι δικηγόροι θα πρέπει πάντα να έχουμε κατά νου και να ενταχθούν στις προσπάθειές τους για την πρόληψη των βασανιστηρίων και της κακής μεταχείρισης σε όλα τα στάδια της κράτησης. </w:t>
            </w:r>
            <w:r>
              <w:rPr>
                <w:lang w:val="el-GR"/>
              </w:rPr>
              <w:t>Οι π</w:t>
            </w:r>
            <w:r w:rsidRPr="009557AB">
              <w:rPr>
                <w:lang w:val="el-GR"/>
              </w:rPr>
              <w:t>ροδικαστικ</w:t>
            </w:r>
            <w:r>
              <w:rPr>
                <w:lang w:val="el-GR"/>
              </w:rPr>
              <w:t>ώς</w:t>
            </w:r>
            <w:r w:rsidRPr="009557AB">
              <w:rPr>
                <w:lang w:val="el-GR"/>
              </w:rPr>
              <w:t xml:space="preserve"> κρατούμενοι </w:t>
            </w:r>
            <w:r w:rsidR="008B361A">
              <w:rPr>
                <w:lang w:val="el-GR"/>
              </w:rPr>
              <w:t>κινδυνεύουν ιδιαίτερα να  κακοποιηθούν</w:t>
            </w:r>
            <w:r w:rsidRPr="009557AB">
              <w:rPr>
                <w:lang w:val="el-GR"/>
              </w:rPr>
              <w:t xml:space="preserve"> </w:t>
            </w:r>
            <w:r w:rsidR="008B361A">
              <w:rPr>
                <w:lang w:val="el-GR"/>
              </w:rPr>
              <w:t xml:space="preserve">λόγω </w:t>
            </w:r>
            <w:r w:rsidRPr="009557AB">
              <w:rPr>
                <w:lang w:val="el-GR"/>
              </w:rPr>
              <w:t xml:space="preserve"> </w:t>
            </w:r>
            <w:r w:rsidR="008B361A">
              <w:rPr>
                <w:lang w:val="el-GR"/>
              </w:rPr>
              <w:t>της</w:t>
            </w:r>
            <w:r w:rsidRPr="009557AB">
              <w:rPr>
                <w:lang w:val="el-GR"/>
              </w:rPr>
              <w:t xml:space="preserve"> υψηλότερη</w:t>
            </w:r>
            <w:r w:rsidR="008B361A">
              <w:rPr>
                <w:lang w:val="el-GR"/>
              </w:rPr>
              <w:t>ς</w:t>
            </w:r>
            <w:r w:rsidRPr="009557AB">
              <w:rPr>
                <w:lang w:val="el-GR"/>
              </w:rPr>
              <w:t xml:space="preserve"> επικράτηση</w:t>
            </w:r>
            <w:r w:rsidR="008B361A">
              <w:rPr>
                <w:lang w:val="el-GR"/>
              </w:rPr>
              <w:t>ς</w:t>
            </w:r>
            <w:r w:rsidRPr="009557AB">
              <w:rPr>
                <w:lang w:val="el-GR"/>
              </w:rPr>
              <w:t xml:space="preserve"> τ</w:t>
            </w:r>
            <w:r w:rsidR="008B361A">
              <w:rPr>
                <w:lang w:val="el-GR"/>
              </w:rPr>
              <w:t>ων</w:t>
            </w:r>
            <w:r w:rsidRPr="009557AB">
              <w:rPr>
                <w:lang w:val="el-GR"/>
              </w:rPr>
              <w:t xml:space="preserve"> βασανιστ</w:t>
            </w:r>
            <w:r w:rsidR="008B361A">
              <w:rPr>
                <w:lang w:val="el-GR"/>
              </w:rPr>
              <w:t xml:space="preserve">ηρίων </w:t>
            </w:r>
            <w:r w:rsidRPr="009557AB">
              <w:rPr>
                <w:lang w:val="el-GR"/>
              </w:rPr>
              <w:t>και τη</w:t>
            </w:r>
            <w:r w:rsidR="008B361A">
              <w:rPr>
                <w:lang w:val="el-GR"/>
              </w:rPr>
              <w:t>ς</w:t>
            </w:r>
            <w:r w:rsidRPr="009557AB">
              <w:rPr>
                <w:lang w:val="el-GR"/>
              </w:rPr>
              <w:t xml:space="preserve"> καταπίεση κατά το στάδιο της</w:t>
            </w:r>
            <w:r w:rsidR="008B361A">
              <w:rPr>
                <w:lang w:val="el-GR"/>
              </w:rPr>
              <w:t xml:space="preserve"> έρευνας</w:t>
            </w:r>
            <w:r w:rsidRPr="009557AB">
              <w:rPr>
                <w:lang w:val="el-GR"/>
              </w:rPr>
              <w:t xml:space="preserve"> της ποινικής διαδικασίας. Πράγματι, μετά τη σύλληψή τους, </w:t>
            </w:r>
            <w:r w:rsidR="008B361A">
              <w:rPr>
                <w:lang w:val="el-GR"/>
              </w:rPr>
              <w:t xml:space="preserve">οι </w:t>
            </w:r>
            <w:r w:rsidRPr="009557AB">
              <w:rPr>
                <w:lang w:val="el-GR"/>
              </w:rPr>
              <w:t>προσωριν</w:t>
            </w:r>
            <w:r w:rsidR="008B361A">
              <w:rPr>
                <w:lang w:val="el-GR"/>
              </w:rPr>
              <w:t>ά κρατούμενοι είναι εντελώς υπό την</w:t>
            </w:r>
            <w:r w:rsidRPr="009557AB">
              <w:rPr>
                <w:lang w:val="el-GR"/>
              </w:rPr>
              <w:t xml:space="preserve"> εξουσία των σωφρονιστικών αρχών, οι οποί</w:t>
            </w:r>
            <w:r w:rsidR="008B361A">
              <w:rPr>
                <w:lang w:val="el-GR"/>
              </w:rPr>
              <w:t>ες</w:t>
            </w:r>
            <w:r w:rsidRPr="009557AB">
              <w:rPr>
                <w:lang w:val="el-GR"/>
              </w:rPr>
              <w:t xml:space="preserve"> συχνά θεωρούν τα βασανιστήρια ως </w:t>
            </w:r>
            <w:r w:rsidR="008B361A">
              <w:rPr>
                <w:lang w:val="el-GR"/>
              </w:rPr>
              <w:t>τ</w:t>
            </w:r>
            <w:r w:rsidRPr="009557AB">
              <w:rPr>
                <w:lang w:val="el-GR"/>
              </w:rPr>
              <w:t>ο</w:t>
            </w:r>
            <w:r w:rsidR="008B361A">
              <w:rPr>
                <w:lang w:val="el-GR"/>
              </w:rPr>
              <w:t>ν πιο γρήγορο τρόπο για να λάβουν</w:t>
            </w:r>
            <w:r w:rsidRPr="009557AB">
              <w:rPr>
                <w:lang w:val="el-GR"/>
              </w:rPr>
              <w:t xml:space="preserve"> πληροφορίες ή </w:t>
            </w:r>
            <w:r w:rsidR="008B361A">
              <w:rPr>
                <w:lang w:val="el-GR"/>
              </w:rPr>
              <w:t xml:space="preserve">να </w:t>
            </w:r>
            <w:r w:rsidRPr="009557AB">
              <w:rPr>
                <w:lang w:val="el-GR"/>
              </w:rPr>
              <w:t>απ</w:t>
            </w:r>
            <w:r w:rsidR="008B361A">
              <w:rPr>
                <w:lang w:val="el-GR"/>
              </w:rPr>
              <w:t xml:space="preserve">οσπάσουν </w:t>
            </w:r>
            <w:r w:rsidR="00DA09EF">
              <w:rPr>
                <w:lang w:val="el-GR"/>
              </w:rPr>
              <w:t xml:space="preserve">μια </w:t>
            </w:r>
            <w:r w:rsidR="008B361A">
              <w:rPr>
                <w:lang w:val="el-GR"/>
              </w:rPr>
              <w:t>ομολογία</w:t>
            </w:r>
            <w:r w:rsidRPr="009557AB">
              <w:rPr>
                <w:lang w:val="el-GR"/>
              </w:rPr>
              <w:t>.</w:t>
            </w:r>
          </w:p>
          <w:p w:rsidR="00DA09EF" w:rsidRDefault="00DA09EF" w:rsidP="00F12F22">
            <w:pPr>
              <w:pStyle w:val="FormatvorlageTextkrperRechts05cm"/>
              <w:rPr>
                <w:lang w:val="el-GR"/>
              </w:rPr>
            </w:pPr>
            <w:r w:rsidRPr="00DA09EF">
              <w:rPr>
                <w:lang w:val="el-GR"/>
              </w:rPr>
              <w:t xml:space="preserve">Συναφώς, η πρόσβαση του δικηγόρου στον κρατούμενο πρέπει να χορηγείται αμέσως μετά τη σύλληψη. Η πρόσβαση σε δικηγόρους πρέπει να είναι άμεση, </w:t>
            </w:r>
            <w:r>
              <w:rPr>
                <w:lang w:val="el-GR"/>
              </w:rPr>
              <w:t>μέσα σε σύντομο χρονικό διάστημα</w:t>
            </w:r>
            <w:r w:rsidRPr="00DA09EF">
              <w:rPr>
                <w:lang w:val="el-GR"/>
              </w:rPr>
              <w:t>, τακτική και εμπιστευτική. Οι δικηγόροι θα πρέπει να βεβαιωθ</w:t>
            </w:r>
            <w:r>
              <w:rPr>
                <w:lang w:val="el-GR"/>
              </w:rPr>
              <w:t>ούν</w:t>
            </w:r>
            <w:r w:rsidRPr="00DA09EF">
              <w:rPr>
                <w:lang w:val="el-GR"/>
              </w:rPr>
              <w:t xml:space="preserve"> ότι οι κρατούμενοι απολαμβάνουν όλες τις νομικές εγγυήσεις κατά των βασανιστηρίων, ότι έχουν ενημερωθεί για τους λόγους της σύλληψής τους σε γλώσσα που κατανοούν και </w:t>
            </w:r>
            <w:r>
              <w:rPr>
                <w:lang w:val="el-GR"/>
              </w:rPr>
              <w:t>για τα</w:t>
            </w:r>
            <w:r w:rsidRPr="00DA09EF">
              <w:rPr>
                <w:lang w:val="el-GR"/>
              </w:rPr>
              <w:t xml:space="preserve"> συγκεκριμένα δικαιώματ</w:t>
            </w:r>
            <w:r>
              <w:rPr>
                <w:lang w:val="el-GR"/>
              </w:rPr>
              <w:t xml:space="preserve">ά τους, </w:t>
            </w:r>
            <w:r w:rsidRPr="00DA09EF">
              <w:rPr>
                <w:lang w:val="el-GR"/>
              </w:rPr>
              <w:t xml:space="preserve">συμπεριλαμβανομένου του δικαιώματος </w:t>
            </w:r>
            <w:r>
              <w:rPr>
                <w:lang w:val="el-GR"/>
              </w:rPr>
              <w:t>πρόσβασης σε δικηγόρο</w:t>
            </w:r>
            <w:r w:rsidRPr="00DA09EF">
              <w:rPr>
                <w:lang w:val="el-GR"/>
              </w:rPr>
              <w:t xml:space="preserve"> σε όλα τα διαδικαστικά στάδια, σε ανεξάρτητες ιατρικές εξετάσεις ή </w:t>
            </w:r>
            <w:r>
              <w:rPr>
                <w:lang w:val="el-GR"/>
              </w:rPr>
              <w:t>σε ενημέρωση</w:t>
            </w:r>
            <w:r w:rsidRPr="00DA09EF">
              <w:rPr>
                <w:lang w:val="el-GR"/>
              </w:rPr>
              <w:t xml:space="preserve"> τ</w:t>
            </w:r>
            <w:r>
              <w:rPr>
                <w:lang w:val="el-GR"/>
              </w:rPr>
              <w:t>ων συγγενών τους</w:t>
            </w:r>
            <w:r w:rsidRPr="00DA09EF">
              <w:rPr>
                <w:lang w:val="el-GR"/>
              </w:rPr>
              <w:t xml:space="preserve"> για την κράτηση. Ο αυξημένος κίνδυνος βασανιστηρίων και κακ</w:t>
            </w:r>
            <w:r>
              <w:rPr>
                <w:lang w:val="el-GR"/>
              </w:rPr>
              <w:t>ής μ</w:t>
            </w:r>
            <w:r w:rsidRPr="00DA09EF">
              <w:rPr>
                <w:lang w:val="el-GR"/>
              </w:rPr>
              <w:t xml:space="preserve">εταχείρισης κρατουμένων από </w:t>
            </w:r>
            <w:r>
              <w:rPr>
                <w:lang w:val="el-GR"/>
              </w:rPr>
              <w:t>την αστυνομία μπορεί να απαιτήσει την υποβολή,</w:t>
            </w:r>
            <w:r w:rsidRPr="00DA09EF">
              <w:rPr>
                <w:lang w:val="el-GR"/>
              </w:rPr>
              <w:t xml:space="preserve"> </w:t>
            </w:r>
            <w:r>
              <w:rPr>
                <w:lang w:val="el-GR"/>
              </w:rPr>
              <w:t xml:space="preserve">από </w:t>
            </w:r>
            <w:r w:rsidRPr="00DA09EF">
              <w:rPr>
                <w:lang w:val="el-GR"/>
              </w:rPr>
              <w:t>στους δικηγόρους</w:t>
            </w:r>
            <w:r>
              <w:rPr>
                <w:lang w:val="el-GR"/>
              </w:rPr>
              <w:t>,</w:t>
            </w:r>
            <w:r w:rsidRPr="00DA09EF">
              <w:rPr>
                <w:lang w:val="el-GR"/>
              </w:rPr>
              <w:t xml:space="preserve"> αίτηση</w:t>
            </w:r>
            <w:r>
              <w:rPr>
                <w:lang w:val="el-GR"/>
              </w:rPr>
              <w:t>ς</w:t>
            </w:r>
            <w:r w:rsidRPr="00DA09EF">
              <w:rPr>
                <w:lang w:val="el-GR"/>
              </w:rPr>
              <w:t xml:space="preserve"> για τη μεταφορά </w:t>
            </w:r>
            <w:r>
              <w:rPr>
                <w:lang w:val="el-GR"/>
              </w:rPr>
              <w:t xml:space="preserve">του </w:t>
            </w:r>
            <w:r w:rsidRPr="00DA09EF">
              <w:rPr>
                <w:lang w:val="el-GR"/>
              </w:rPr>
              <w:t xml:space="preserve">κρατουμένου από την </w:t>
            </w:r>
            <w:r>
              <w:rPr>
                <w:lang w:val="el-GR"/>
              </w:rPr>
              <w:t xml:space="preserve">κράτηση στην </w:t>
            </w:r>
            <w:r w:rsidRPr="00DA09EF">
              <w:rPr>
                <w:lang w:val="el-GR"/>
              </w:rPr>
              <w:t xml:space="preserve">αστυνομία </w:t>
            </w:r>
            <w:r>
              <w:rPr>
                <w:lang w:val="el-GR"/>
              </w:rPr>
              <w:t>σε ένα σωφρονιστικό κατάστημα</w:t>
            </w:r>
            <w:r w:rsidRPr="00DA09EF">
              <w:rPr>
                <w:lang w:val="el-GR"/>
              </w:rPr>
              <w:t>. Επιπλέον, ο</w:t>
            </w:r>
            <w:r>
              <w:rPr>
                <w:lang w:val="el-GR"/>
              </w:rPr>
              <w:t>ι δικηγόροι θα πρέπει να βεβαιώσουν</w:t>
            </w:r>
            <w:r w:rsidRPr="00DA09EF">
              <w:rPr>
                <w:lang w:val="el-GR"/>
              </w:rPr>
              <w:t xml:space="preserve"> ότι οι πελάτες τους υποβάλλονται σε ιατρική εξέταση από ανεξά</w:t>
            </w:r>
            <w:r>
              <w:rPr>
                <w:lang w:val="el-GR"/>
              </w:rPr>
              <w:t>ρτητο ιατρό και να τους βοηθήσουν</w:t>
            </w:r>
            <w:r w:rsidRPr="00DA09EF">
              <w:rPr>
                <w:lang w:val="el-GR"/>
              </w:rPr>
              <w:t xml:space="preserve">, κατά περίπτωση, στην αίτηση για </w:t>
            </w:r>
            <w:r>
              <w:rPr>
                <w:lang w:val="el-GR"/>
              </w:rPr>
              <w:t>έγγραφο</w:t>
            </w:r>
            <w:r w:rsidRPr="00DA09EF">
              <w:rPr>
                <w:lang w:val="el-GR"/>
              </w:rPr>
              <w:t xml:space="preserve"> του </w:t>
            </w:r>
            <w:r w:rsidRPr="00DA09EF">
              <w:rPr>
                <w:lang w:val="en-GB"/>
              </w:rPr>
              <w:t>habeas</w:t>
            </w:r>
            <w:r w:rsidRPr="00DA09EF">
              <w:rPr>
                <w:lang w:val="el-GR"/>
              </w:rPr>
              <w:t xml:space="preserve"> </w:t>
            </w:r>
            <w:r w:rsidRPr="00DA09EF">
              <w:rPr>
                <w:lang w:val="en-GB"/>
              </w:rPr>
              <w:t>corpus</w:t>
            </w:r>
            <w:r w:rsidRPr="00DA09EF">
              <w:rPr>
                <w:lang w:val="el-GR"/>
              </w:rPr>
              <w:t>, δηλαδή τη δυνατότητα να αμφισβητήσουν τη νομιμότητα της κράτησής τους ενώπιον δικαστή (άρθρο 9 (4) ΔΣΑΠΔ).</w:t>
            </w:r>
          </w:p>
          <w:p w:rsidR="00DA09EF" w:rsidRPr="00DA09EF" w:rsidRDefault="009360FE" w:rsidP="00DA09EF">
            <w:pPr>
              <w:pStyle w:val="FormatvorlageTextkrperRechts05cm"/>
              <w:rPr>
                <w:lang w:val="el-GR"/>
              </w:rPr>
            </w:pPr>
            <w:r>
              <w:rPr>
                <w:lang w:val="el-GR"/>
              </w:rPr>
              <w:t>Οι δικηγόροι, μ</w:t>
            </w:r>
            <w:r w:rsidR="00DA09EF" w:rsidRPr="00DA09EF">
              <w:rPr>
                <w:lang w:val="el-GR"/>
              </w:rPr>
              <w:t xml:space="preserve">ετά την ενημέρωση των πελατών τους σχετικά με τα </w:t>
            </w:r>
            <w:r w:rsidR="00DA09EF" w:rsidRPr="00DA09EF">
              <w:rPr>
                <w:lang w:val="el-GR"/>
              </w:rPr>
              <w:lastRenderedPageBreak/>
              <w:t>δικαιώματά τους, θα πρέπει</w:t>
            </w:r>
            <w:r>
              <w:rPr>
                <w:lang w:val="el-GR"/>
              </w:rPr>
              <w:t xml:space="preserve"> επίσης,</w:t>
            </w:r>
            <w:r w:rsidR="00DA09EF" w:rsidRPr="00DA09EF">
              <w:rPr>
                <w:lang w:val="el-GR"/>
              </w:rPr>
              <w:t xml:space="preserve"> </w:t>
            </w:r>
            <w:r w:rsidRPr="00DA09EF">
              <w:rPr>
                <w:lang w:val="el-GR"/>
              </w:rPr>
              <w:t xml:space="preserve">όταν </w:t>
            </w:r>
            <w:r>
              <w:rPr>
                <w:lang w:val="el-GR"/>
              </w:rPr>
              <w:t xml:space="preserve">έχουν συμβεί </w:t>
            </w:r>
            <w:r w:rsidRPr="00DA09EF">
              <w:rPr>
                <w:lang w:val="el-GR"/>
              </w:rPr>
              <w:t>ο</w:t>
            </w:r>
            <w:r>
              <w:rPr>
                <w:lang w:val="el-GR"/>
              </w:rPr>
              <w:t xml:space="preserve">ι πράξεις βασανιστηρίων και κακής </w:t>
            </w:r>
            <w:r w:rsidRPr="00DA09EF">
              <w:rPr>
                <w:lang w:val="el-GR"/>
              </w:rPr>
              <w:t>μεταχείρισης</w:t>
            </w:r>
            <w:r>
              <w:rPr>
                <w:lang w:val="el-GR"/>
              </w:rPr>
              <w:t>,</w:t>
            </w:r>
            <w:r w:rsidRPr="00DA09EF">
              <w:rPr>
                <w:lang w:val="el-GR"/>
              </w:rPr>
              <w:t xml:space="preserve"> </w:t>
            </w:r>
            <w:r w:rsidR="00DA09EF" w:rsidRPr="00DA09EF">
              <w:rPr>
                <w:lang w:val="el-GR"/>
              </w:rPr>
              <w:t xml:space="preserve">να </w:t>
            </w:r>
            <w:r>
              <w:rPr>
                <w:lang w:val="el-GR"/>
              </w:rPr>
              <w:t xml:space="preserve">τους </w:t>
            </w:r>
            <w:r w:rsidR="00DA09EF" w:rsidRPr="00DA09EF">
              <w:rPr>
                <w:lang w:val="el-GR"/>
              </w:rPr>
              <w:t>εξηγήσου</w:t>
            </w:r>
            <w:r>
              <w:rPr>
                <w:lang w:val="el-GR"/>
              </w:rPr>
              <w:t>ν</w:t>
            </w:r>
            <w:r w:rsidR="00DA09EF" w:rsidRPr="00DA09EF">
              <w:rPr>
                <w:lang w:val="el-GR"/>
              </w:rPr>
              <w:t xml:space="preserve"> τους υφιστάμενους μηχανισμούς καταγγελιών και να τους καθοδηγήσ</w:t>
            </w:r>
            <w:r>
              <w:rPr>
                <w:lang w:val="el-GR"/>
              </w:rPr>
              <w:t>ουν</w:t>
            </w:r>
            <w:r w:rsidR="00DA09EF" w:rsidRPr="00DA09EF">
              <w:rPr>
                <w:lang w:val="el-GR"/>
              </w:rPr>
              <w:t xml:space="preserve"> μέσ</w:t>
            </w:r>
            <w:r>
              <w:rPr>
                <w:lang w:val="el-GR"/>
              </w:rPr>
              <w:t>ω της υποβολής καταγγελίας.</w:t>
            </w:r>
          </w:p>
          <w:p w:rsidR="00FF390C" w:rsidRDefault="00DA09EF" w:rsidP="00F54D6C">
            <w:pPr>
              <w:pStyle w:val="FormatvorlageTextkrperRechts05cm"/>
              <w:rPr>
                <w:lang w:val="el-GR"/>
              </w:rPr>
            </w:pPr>
            <w:r w:rsidRPr="00DA09EF">
              <w:rPr>
                <w:lang w:val="el-GR"/>
              </w:rPr>
              <w:t>Σε περίπτωση απουσίας ενός αποτελεσματικού μηχανισμού καταγγελιών, οι δικηγόροι θα πρέπει να κινήσ</w:t>
            </w:r>
            <w:r w:rsidR="009360FE">
              <w:rPr>
                <w:lang w:val="el-GR"/>
              </w:rPr>
              <w:t>ουν</w:t>
            </w:r>
            <w:r w:rsidRPr="00DA09EF">
              <w:rPr>
                <w:lang w:val="el-GR"/>
              </w:rPr>
              <w:t xml:space="preserve"> τη δημιουργία ή τη βελτίωση του υφιστάμενου συστήματος με την κυβέρνηση (βλ.</w:t>
            </w:r>
            <w:r w:rsidR="009360FE">
              <w:rPr>
                <w:lang w:val="el-GR"/>
              </w:rPr>
              <w:t xml:space="preserve"> παρακάτω:. 7 Υπεράσπιση και </w:t>
            </w:r>
            <w:r w:rsidRPr="00DA09EF">
              <w:rPr>
                <w:lang w:val="el-GR"/>
              </w:rPr>
              <w:t xml:space="preserve">χάραξη πολιτικής). Ομοίως, </w:t>
            </w:r>
            <w:r w:rsidR="009360FE">
              <w:rPr>
                <w:lang w:val="el-GR"/>
              </w:rPr>
              <w:t xml:space="preserve">όταν αυτές οι διαδικαστικές εγγυήσεις δεν </w:t>
            </w:r>
            <w:r w:rsidRPr="00DA09EF">
              <w:rPr>
                <w:lang w:val="el-GR"/>
              </w:rPr>
              <w:t>υπάρχουν σε ένα κράτος, οι δικηγόροι και οι δικηγορικοί σύλλογοι μπορεί να είναι καθοριστικ</w:t>
            </w:r>
            <w:r w:rsidR="009360FE">
              <w:rPr>
                <w:lang w:val="el-GR"/>
              </w:rPr>
              <w:t>οί</w:t>
            </w:r>
            <w:r w:rsidRPr="00DA09EF">
              <w:rPr>
                <w:lang w:val="el-GR"/>
              </w:rPr>
              <w:t xml:space="preserve"> παράγοντες στη </w:t>
            </w:r>
            <w:r w:rsidR="009360FE">
              <w:rPr>
                <w:lang w:val="el-GR"/>
              </w:rPr>
              <w:t>υποστήριξη της δημιουργίας τους.</w:t>
            </w:r>
          </w:p>
          <w:p w:rsidR="00D42F29" w:rsidRPr="002F2069" w:rsidRDefault="00D42F29" w:rsidP="00F54D6C">
            <w:pPr>
              <w:pStyle w:val="FormatvorlageTextkrperRechts05cm"/>
              <w:rPr>
                <w:lang w:val="el-GR"/>
              </w:rPr>
            </w:pPr>
          </w:p>
          <w:p w:rsidR="00350ACD" w:rsidRPr="00785C46" w:rsidRDefault="00785C46" w:rsidP="00FF390C">
            <w:pPr>
              <w:pStyle w:val="Heading1"/>
              <w:pBdr>
                <w:bottom w:val="none" w:sz="0" w:space="0" w:color="auto"/>
              </w:pBdr>
              <w:rPr>
                <w:lang w:val="el-GR"/>
              </w:rPr>
            </w:pPr>
            <w:r w:rsidRPr="00785C46">
              <w:rPr>
                <w:lang w:val="el-GR"/>
              </w:rPr>
              <w:t>Δικαίωμα στην θεραπεία και την αποκατάσταση</w:t>
            </w:r>
          </w:p>
          <w:p w:rsidR="003C1833" w:rsidRPr="003C1833" w:rsidRDefault="003C1833" w:rsidP="003C1833">
            <w:pPr>
              <w:pStyle w:val="FormatvorlageTextkrperRechts05cm"/>
              <w:rPr>
                <w:lang w:val="el-GR"/>
              </w:rPr>
            </w:pPr>
            <w:r w:rsidRPr="003C1833">
              <w:rPr>
                <w:lang w:val="el-GR"/>
              </w:rPr>
              <w:t>Η Σύμβαση κατά των Βασανιστηρίων (</w:t>
            </w:r>
            <w:r w:rsidRPr="003C1833">
              <w:rPr>
                <w:lang w:val="en-GB"/>
              </w:rPr>
              <w:t>UNCAT</w:t>
            </w:r>
            <w:r w:rsidRPr="003C1833">
              <w:rPr>
                <w:lang w:val="el-GR"/>
              </w:rPr>
              <w:t>) απαιτεί από τα συμβαλλόμενα κράτη να βοηθήσ</w:t>
            </w:r>
            <w:r>
              <w:rPr>
                <w:lang w:val="el-GR"/>
              </w:rPr>
              <w:t>ουν</w:t>
            </w:r>
            <w:r w:rsidRPr="003C1833">
              <w:rPr>
                <w:lang w:val="el-GR"/>
              </w:rPr>
              <w:t xml:space="preserve"> τα θύματα βασανιστηρίων και να τους χορηγήσ</w:t>
            </w:r>
            <w:r>
              <w:rPr>
                <w:lang w:val="el-GR"/>
              </w:rPr>
              <w:t>ουν</w:t>
            </w:r>
            <w:r w:rsidRPr="003C1833">
              <w:rPr>
                <w:lang w:val="el-GR"/>
              </w:rPr>
              <w:t xml:space="preserve"> επαρκή </w:t>
            </w:r>
            <w:r>
              <w:rPr>
                <w:lang w:val="el-GR"/>
              </w:rPr>
              <w:t>επανόρθωση</w:t>
            </w:r>
            <w:r w:rsidRPr="003C1833">
              <w:rPr>
                <w:lang w:val="el-GR"/>
              </w:rPr>
              <w:t xml:space="preserve">, συμπεριλαμβανομένης της αποζημίωσης και αποκατάστασης. Αυτά τα δικαιώματα προκύπτουν από τα άρθρα 13 και 14 </w:t>
            </w:r>
            <w:r>
              <w:rPr>
                <w:lang w:val="el-GR"/>
              </w:rPr>
              <w:t xml:space="preserve">της </w:t>
            </w:r>
            <w:r w:rsidRPr="003C1833">
              <w:rPr>
                <w:lang w:val="en-GB"/>
              </w:rPr>
              <w:t>UNCAT</w:t>
            </w:r>
            <w:r w:rsidRPr="003C1833">
              <w:rPr>
                <w:lang w:val="el-GR"/>
              </w:rPr>
              <w:t>.</w:t>
            </w:r>
          </w:p>
          <w:p w:rsidR="003C1833" w:rsidRDefault="003C1833" w:rsidP="003C1833">
            <w:pPr>
              <w:pStyle w:val="FormatvorlageTextkrperRechts05cm"/>
              <w:rPr>
                <w:lang w:val="el-GR"/>
              </w:rPr>
            </w:pPr>
            <w:r w:rsidRPr="003C1833">
              <w:rPr>
                <w:lang w:val="el-GR"/>
              </w:rPr>
              <w:t xml:space="preserve">Το δικαίωμα </w:t>
            </w:r>
            <w:r>
              <w:rPr>
                <w:lang w:val="el-GR"/>
              </w:rPr>
              <w:t>υποβολής</w:t>
            </w:r>
            <w:r w:rsidRPr="003C1833">
              <w:rPr>
                <w:lang w:val="el-GR"/>
              </w:rPr>
              <w:t xml:space="preserve"> καταγγελία</w:t>
            </w:r>
            <w:r>
              <w:rPr>
                <w:lang w:val="el-GR"/>
              </w:rPr>
              <w:t>ς</w:t>
            </w:r>
            <w:r w:rsidRPr="003C1833">
              <w:rPr>
                <w:lang w:val="el-GR"/>
              </w:rPr>
              <w:t xml:space="preserve"> </w:t>
            </w:r>
            <w:r>
              <w:rPr>
                <w:lang w:val="el-GR"/>
              </w:rPr>
              <w:t>στην αρμόδια αρχή</w:t>
            </w:r>
            <w:r w:rsidRPr="003C1833">
              <w:rPr>
                <w:lang w:val="el-GR"/>
              </w:rPr>
              <w:t xml:space="preserve"> καθώς και το δικαίωμα σε μια μεταγενέστερη αμερόληπτη και έγκαιρη έρευνα, καθώς κα</w:t>
            </w:r>
            <w:r>
              <w:rPr>
                <w:lang w:val="el-GR"/>
              </w:rPr>
              <w:t xml:space="preserve">ι η προστασία έναντι αντιποίνων, </w:t>
            </w:r>
            <w:r w:rsidRPr="003C1833">
              <w:rPr>
                <w:lang w:val="el-GR"/>
              </w:rPr>
              <w:t xml:space="preserve">καθορίζονται στο άρθρο 13, ως συμπλήρωμα της υποχρεώσεως </w:t>
            </w:r>
            <w:r>
              <w:rPr>
                <w:lang w:val="el-GR"/>
              </w:rPr>
              <w:t>για κίνηση</w:t>
            </w:r>
            <w:r w:rsidRPr="003C1833">
              <w:rPr>
                <w:lang w:val="el-GR"/>
              </w:rPr>
              <w:t xml:space="preserve"> </w:t>
            </w:r>
            <w:r>
              <w:rPr>
                <w:lang w:val="en-US"/>
              </w:rPr>
              <w:t>ex</w:t>
            </w:r>
            <w:r w:rsidRPr="003C1833">
              <w:rPr>
                <w:lang w:val="el-GR"/>
              </w:rPr>
              <w:t xml:space="preserve"> </w:t>
            </w:r>
            <w:r>
              <w:rPr>
                <w:lang w:val="en-US"/>
              </w:rPr>
              <w:t>officio</w:t>
            </w:r>
            <w:r w:rsidRPr="003C1833">
              <w:rPr>
                <w:lang w:val="el-GR"/>
              </w:rPr>
              <w:t xml:space="preserve"> έρευνα</w:t>
            </w:r>
            <w:r>
              <w:rPr>
                <w:lang w:val="el-GR"/>
              </w:rPr>
              <w:t>ς</w:t>
            </w:r>
            <w:r w:rsidRPr="003C1833">
              <w:rPr>
                <w:lang w:val="el-GR"/>
              </w:rPr>
              <w:t xml:space="preserve"> σύμφωνα με το άρθρο 12.</w:t>
            </w:r>
          </w:p>
          <w:p w:rsidR="003C1833" w:rsidRPr="00773D4B" w:rsidRDefault="003C1833" w:rsidP="008A3BA3">
            <w:pPr>
              <w:pStyle w:val="FormatvorlageTextkrperRechts05cm"/>
              <w:rPr>
                <w:lang w:val="el-GR"/>
              </w:rPr>
            </w:pPr>
            <w:r w:rsidRPr="003C1833">
              <w:rPr>
                <w:lang w:val="el-GR"/>
              </w:rPr>
              <w:t xml:space="preserve">Το άρθρο 14 περιλαμβάνει το δικαίωμα </w:t>
            </w:r>
            <w:r w:rsidR="00773D4B">
              <w:rPr>
                <w:lang w:val="el-GR"/>
              </w:rPr>
              <w:t xml:space="preserve">των θυμάτων βασανιστηρίων ή κακής </w:t>
            </w:r>
            <w:r w:rsidRPr="003C1833">
              <w:rPr>
                <w:lang w:val="el-GR"/>
              </w:rPr>
              <w:t xml:space="preserve">μεταχείρισης </w:t>
            </w:r>
            <w:r w:rsidR="00773D4B">
              <w:rPr>
                <w:lang w:val="el-GR"/>
              </w:rPr>
              <w:t>σε επανόρθωση</w:t>
            </w:r>
            <w:r w:rsidRPr="003C1833">
              <w:rPr>
                <w:lang w:val="el-GR"/>
              </w:rPr>
              <w:t xml:space="preserve"> και επαρκή αποζημίωση, καθώς </w:t>
            </w:r>
            <w:r w:rsidR="00773D4B">
              <w:rPr>
                <w:lang w:val="el-GR"/>
              </w:rPr>
              <w:t>και σε όσο το δυνατόν πληρέστερη αποκατάσταση</w:t>
            </w:r>
            <w:r w:rsidRPr="003C1833">
              <w:rPr>
                <w:lang w:val="el-GR"/>
              </w:rPr>
              <w:t>. Η διάταξη αυτή παρέχει, επίσης, τα δικαιώματα αυτά στους εξαρτώμεν</w:t>
            </w:r>
            <w:r w:rsidR="00773D4B">
              <w:rPr>
                <w:lang w:val="el-GR"/>
              </w:rPr>
              <w:t>ους</w:t>
            </w:r>
            <w:r w:rsidRPr="003C1833">
              <w:rPr>
                <w:lang w:val="el-GR"/>
              </w:rPr>
              <w:t xml:space="preserve"> από το θύμα σε περίπτωση θανάτου</w:t>
            </w:r>
            <w:r w:rsidR="00773D4B">
              <w:rPr>
                <w:lang w:val="el-GR"/>
              </w:rPr>
              <w:t xml:space="preserve"> του</w:t>
            </w:r>
            <w:r w:rsidRPr="003C1833">
              <w:rPr>
                <w:lang w:val="el-GR"/>
              </w:rPr>
              <w:t>, ως αποτέλεσμα μιας τέτοιας πράξης βασανιστηρίων.</w:t>
            </w:r>
          </w:p>
          <w:p w:rsidR="00773D4B" w:rsidRDefault="00773D4B" w:rsidP="002A6383">
            <w:pPr>
              <w:pStyle w:val="FormatvorlageTextkrperRechts05cm"/>
              <w:rPr>
                <w:lang w:val="el-GR"/>
              </w:rPr>
            </w:pPr>
            <w:r>
              <w:rPr>
                <w:lang w:val="el-GR"/>
              </w:rPr>
              <w:t>Οι δ</w:t>
            </w:r>
            <w:r w:rsidRPr="00773D4B">
              <w:rPr>
                <w:lang w:val="el-GR"/>
              </w:rPr>
              <w:t xml:space="preserve">ικηγόροι αποτελούν </w:t>
            </w:r>
            <w:r>
              <w:rPr>
                <w:lang w:val="el-GR"/>
              </w:rPr>
              <w:t xml:space="preserve">τους </w:t>
            </w:r>
            <w:r w:rsidRPr="00773D4B">
              <w:rPr>
                <w:lang w:val="el-GR"/>
              </w:rPr>
              <w:t>βασικούς συνομιλητές για τους επιζώντες βασανιστηρίων και κακ</w:t>
            </w:r>
            <w:r w:rsidR="00AF43D9">
              <w:rPr>
                <w:lang w:val="el-GR"/>
              </w:rPr>
              <w:t xml:space="preserve">ής </w:t>
            </w:r>
            <w:r w:rsidRPr="00773D4B">
              <w:rPr>
                <w:lang w:val="el-GR"/>
              </w:rPr>
              <w:t xml:space="preserve">μεταχείρισης που αναζητούν δικαιοσύνη και άλλες μορφές επανόρθωσης. </w:t>
            </w:r>
            <w:r w:rsidR="00AF43D9">
              <w:rPr>
                <w:lang w:val="el-GR"/>
              </w:rPr>
              <w:t>Μπορούν να εξηγήσουν</w:t>
            </w:r>
            <w:r w:rsidRPr="00773D4B">
              <w:rPr>
                <w:lang w:val="el-GR"/>
              </w:rPr>
              <w:t xml:space="preserve"> τα δικαιώματα που ενσωματώνονται στα ανωτέρω δύο άρθρα σε άτομα που έχουν υποστε</w:t>
            </w:r>
            <w:r w:rsidR="00AF43D9">
              <w:rPr>
                <w:lang w:val="el-GR"/>
              </w:rPr>
              <w:t xml:space="preserve">ί βασανιστήρια και να τους βοηθήσουν </w:t>
            </w:r>
            <w:r w:rsidRPr="00773D4B">
              <w:rPr>
                <w:lang w:val="el-GR"/>
              </w:rPr>
              <w:t xml:space="preserve">σε όλα τα στάδια της </w:t>
            </w:r>
            <w:r w:rsidR="00AF43D9">
              <w:rPr>
                <w:lang w:val="el-GR"/>
              </w:rPr>
              <w:t>υποβολής καταγγελίας και</w:t>
            </w:r>
            <w:r w:rsidRPr="00773D4B">
              <w:rPr>
                <w:lang w:val="el-GR"/>
              </w:rPr>
              <w:t xml:space="preserve"> </w:t>
            </w:r>
            <w:r w:rsidR="00AF43D9">
              <w:rPr>
                <w:lang w:val="el-GR"/>
              </w:rPr>
              <w:t>σ</w:t>
            </w:r>
            <w:r w:rsidRPr="00773D4B">
              <w:rPr>
                <w:lang w:val="el-GR"/>
              </w:rPr>
              <w:t>τη διαδικασία της απόκτησης αποκατάσταση</w:t>
            </w:r>
            <w:r w:rsidR="00AF43D9">
              <w:rPr>
                <w:lang w:val="el-GR"/>
              </w:rPr>
              <w:t>ς</w:t>
            </w:r>
            <w:r w:rsidRPr="00773D4B">
              <w:rPr>
                <w:lang w:val="el-GR"/>
              </w:rPr>
              <w:t>, σε διοικητικό επίπεδο, στο πλαίσιο του ποινικού δικαίου, καθώς και μέσω του αστικού δικαίου. Αποκατάσταση μπορεί να χορηγηθεί με διάφορους τρόπους, όπως η σωστή έρευνα της αλήθειας, η επίσημη αναγνώριση τ</w:t>
            </w:r>
            <w:r w:rsidR="00AF43D9">
              <w:rPr>
                <w:lang w:val="el-GR"/>
              </w:rPr>
              <w:t>ης διαπραχθείσης πράξης βασανιστηρίων</w:t>
            </w:r>
            <w:r w:rsidRPr="00773D4B">
              <w:rPr>
                <w:lang w:val="el-GR"/>
              </w:rPr>
              <w:t>, καθώς και μια συγγνώμη από τ</w:t>
            </w:r>
            <w:r w:rsidR="00AF43D9">
              <w:rPr>
                <w:lang w:val="el-GR"/>
              </w:rPr>
              <w:t xml:space="preserve">ις αρμόδιες αρχές. Επιπλέον, η χρηματική </w:t>
            </w:r>
            <w:r w:rsidRPr="00773D4B">
              <w:rPr>
                <w:lang w:val="el-GR"/>
              </w:rPr>
              <w:t>αποζημίωση μπορεί να συμπληρώ</w:t>
            </w:r>
            <w:r w:rsidR="00AF43D9">
              <w:rPr>
                <w:lang w:val="el-GR"/>
              </w:rPr>
              <w:t>σ</w:t>
            </w:r>
            <w:r w:rsidRPr="00773D4B">
              <w:rPr>
                <w:lang w:val="el-GR"/>
              </w:rPr>
              <w:t xml:space="preserve">ει τις άλλες μορφές επανόρθωσης, αλλά οι δικηγόροι θα πρέπει να γνωρίζουν ότι τόσο η Επιτροπή κατά των Βασανιστηρίων και </w:t>
            </w:r>
            <w:r w:rsidR="00AF43D9">
              <w:rPr>
                <w:lang w:val="el-GR"/>
              </w:rPr>
              <w:t xml:space="preserve">το Παναμερικανικό </w:t>
            </w:r>
            <w:r w:rsidRPr="00773D4B">
              <w:rPr>
                <w:lang w:val="el-GR"/>
              </w:rPr>
              <w:t>Δικαστήριο Ανθρωπίνων Δικα</w:t>
            </w:r>
            <w:r w:rsidR="00AF43D9">
              <w:rPr>
                <w:lang w:val="el-GR"/>
              </w:rPr>
              <w:t>ιωμάτων επιβεβαίωσαν</w:t>
            </w:r>
            <w:r w:rsidRPr="00773D4B">
              <w:rPr>
                <w:lang w:val="el-GR"/>
              </w:rPr>
              <w:t xml:space="preserve"> </w:t>
            </w:r>
            <w:r w:rsidRPr="00773D4B">
              <w:rPr>
                <w:lang w:val="el-GR"/>
              </w:rPr>
              <w:lastRenderedPageBreak/>
              <w:t>σαφώς ότι η οικονομική αποκατάσταση δεν είναι επαρκής για το έγκλημα των βασανιστηρίων.</w:t>
            </w:r>
            <w:r>
              <w:rPr>
                <w:lang w:val="el-GR"/>
              </w:rPr>
              <w:t xml:space="preserve"> </w:t>
            </w:r>
          </w:p>
          <w:p w:rsidR="0016696B" w:rsidRDefault="00AF43D9" w:rsidP="00BC3EE1">
            <w:pPr>
              <w:pStyle w:val="FormatvorlageTextkrperRechts05cm"/>
              <w:rPr>
                <w:lang w:val="el-GR"/>
              </w:rPr>
            </w:pPr>
            <w:r w:rsidRPr="00AF43D9">
              <w:rPr>
                <w:lang w:val="el-GR"/>
              </w:rPr>
              <w:t xml:space="preserve">Σε </w:t>
            </w:r>
            <w:r w:rsidR="0016696B">
              <w:rPr>
                <w:lang w:val="el-GR"/>
              </w:rPr>
              <w:t>μια πιο ευρεία</w:t>
            </w:r>
            <w:r w:rsidRPr="00AF43D9">
              <w:rPr>
                <w:lang w:val="el-GR"/>
              </w:rPr>
              <w:t xml:space="preserve"> βάση,</w:t>
            </w:r>
            <w:r w:rsidR="0016696B">
              <w:rPr>
                <w:lang w:val="el-GR"/>
              </w:rPr>
              <w:t xml:space="preserve"> η επανόρθωση</w:t>
            </w:r>
            <w:r w:rsidRPr="00AF43D9">
              <w:rPr>
                <w:lang w:val="el-GR"/>
              </w:rPr>
              <w:t xml:space="preserve"> και </w:t>
            </w:r>
            <w:r w:rsidR="0016696B">
              <w:rPr>
                <w:lang w:val="el-GR"/>
              </w:rPr>
              <w:t>η αποκατάσταση</w:t>
            </w:r>
            <w:r w:rsidRPr="00AF43D9">
              <w:rPr>
                <w:lang w:val="el-GR"/>
              </w:rPr>
              <w:t xml:space="preserve"> </w:t>
            </w:r>
            <w:r w:rsidR="0016696B">
              <w:rPr>
                <w:lang w:val="el-GR"/>
              </w:rPr>
              <w:t xml:space="preserve">διαδραματίζουν </w:t>
            </w:r>
            <w:r w:rsidRPr="00AF43D9">
              <w:rPr>
                <w:lang w:val="el-GR"/>
              </w:rPr>
              <w:t xml:space="preserve">επίσης </w:t>
            </w:r>
            <w:r w:rsidR="0016696B">
              <w:rPr>
                <w:lang w:val="el-GR"/>
              </w:rPr>
              <w:t>έναν σημαντικό ρόλο</w:t>
            </w:r>
            <w:r w:rsidRPr="00AF43D9">
              <w:rPr>
                <w:lang w:val="el-GR"/>
              </w:rPr>
              <w:t xml:space="preserve"> για την κοινωνία στ</w:t>
            </w:r>
            <w:r w:rsidR="0016696B">
              <w:rPr>
                <w:lang w:val="el-GR"/>
              </w:rPr>
              <w:t xml:space="preserve">ην οποία τα βασανιστήρια και η κακή </w:t>
            </w:r>
            <w:r w:rsidRPr="00AF43D9">
              <w:rPr>
                <w:lang w:val="el-GR"/>
              </w:rPr>
              <w:t>μεταχείριση</w:t>
            </w:r>
            <w:r w:rsidR="0016696B">
              <w:rPr>
                <w:lang w:val="el-GR"/>
              </w:rPr>
              <w:t xml:space="preserve"> έλαβαν χώρα</w:t>
            </w:r>
            <w:r w:rsidRPr="00AF43D9">
              <w:rPr>
                <w:lang w:val="el-GR"/>
              </w:rPr>
              <w:t>. Σε περίπτωση εκτεταμένων ή συστηματικών βασανιστ</w:t>
            </w:r>
            <w:r w:rsidR="0016696B">
              <w:rPr>
                <w:lang w:val="el-GR"/>
              </w:rPr>
              <w:t>ηρίων, η αποκατάσταση μπορεί επιπροσθέτω</w:t>
            </w:r>
            <w:r w:rsidRPr="00AF43D9">
              <w:rPr>
                <w:lang w:val="el-GR"/>
              </w:rPr>
              <w:t xml:space="preserve">ς να περιλαμβάνει την τροποποίηση των σχετικών νόμων, την καταπολέμηση της ατιμωρησίας και την εισαγωγή προληπτικών μέτρων. </w:t>
            </w:r>
            <w:r w:rsidR="0016696B">
              <w:rPr>
                <w:lang w:val="el-GR"/>
              </w:rPr>
              <w:t>Οι δ</w:t>
            </w:r>
            <w:r w:rsidRPr="00AF43D9">
              <w:rPr>
                <w:lang w:val="el-GR"/>
              </w:rPr>
              <w:t>ικηγόροι θα πρέπει να υποστηρίζουν πάντ</w:t>
            </w:r>
            <w:r w:rsidR="0016696B">
              <w:rPr>
                <w:lang w:val="el-GR"/>
              </w:rPr>
              <w:t>οτε</w:t>
            </w:r>
            <w:r w:rsidRPr="00AF43D9">
              <w:rPr>
                <w:lang w:val="el-GR"/>
              </w:rPr>
              <w:t xml:space="preserve"> τέτοιες αλλαγές</w:t>
            </w:r>
            <w:r w:rsidR="0016696B">
              <w:rPr>
                <w:lang w:val="el-GR"/>
              </w:rPr>
              <w:t>,</w:t>
            </w:r>
            <w:r w:rsidRPr="00AF43D9">
              <w:rPr>
                <w:lang w:val="el-GR"/>
              </w:rPr>
              <w:t xml:space="preserve"> πέραν του βασικού του</w:t>
            </w:r>
            <w:r w:rsidR="0016696B">
              <w:rPr>
                <w:lang w:val="el-GR"/>
              </w:rPr>
              <w:t>ς</w:t>
            </w:r>
            <w:r w:rsidRPr="00AF43D9">
              <w:rPr>
                <w:lang w:val="el-GR"/>
              </w:rPr>
              <w:t xml:space="preserve"> ρόλου στην </w:t>
            </w:r>
            <w:r w:rsidR="0016696B">
              <w:rPr>
                <w:lang w:val="el-GR"/>
              </w:rPr>
              <w:t>παροχή βοήθειας σε</w:t>
            </w:r>
            <w:r w:rsidRPr="00AF43D9">
              <w:rPr>
                <w:lang w:val="el-GR"/>
              </w:rPr>
              <w:t xml:space="preserve"> θ</w:t>
            </w:r>
            <w:r w:rsidR="0016696B">
              <w:rPr>
                <w:lang w:val="el-GR"/>
              </w:rPr>
              <w:t>ύματα</w:t>
            </w:r>
            <w:r w:rsidRPr="00AF43D9">
              <w:rPr>
                <w:lang w:val="el-GR"/>
              </w:rPr>
              <w:t xml:space="preserve"> βασανιστηρίων </w:t>
            </w:r>
            <w:r w:rsidR="0016696B">
              <w:rPr>
                <w:lang w:val="el-GR"/>
              </w:rPr>
              <w:t xml:space="preserve">στην λήψη επαρκούς αποζημίωσης. </w:t>
            </w:r>
          </w:p>
          <w:p w:rsidR="00D42F29" w:rsidRPr="0016696B" w:rsidRDefault="00D42F29" w:rsidP="00BC3EE1">
            <w:pPr>
              <w:pStyle w:val="FormatvorlageTextkrperRechts05cm"/>
              <w:rPr>
                <w:lang w:val="el-GR"/>
              </w:rPr>
            </w:pPr>
          </w:p>
        </w:tc>
        <w:tc>
          <w:tcPr>
            <w:tcW w:w="2552" w:type="dxa"/>
            <w:tcMar>
              <w:left w:w="170" w:type="dxa"/>
            </w:tcMar>
          </w:tcPr>
          <w:p w:rsidR="000F64AE" w:rsidRPr="0016696B" w:rsidRDefault="000F64AE" w:rsidP="00F54D6C">
            <w:pPr>
              <w:pStyle w:val="BodyText"/>
              <w:rPr>
                <w:lang w:val="el-GR"/>
              </w:rPr>
            </w:pPr>
          </w:p>
          <w:p w:rsidR="000F64AE" w:rsidRPr="0016696B" w:rsidRDefault="000F64AE" w:rsidP="00F54D6C">
            <w:pPr>
              <w:pStyle w:val="BodyText"/>
              <w:rPr>
                <w:lang w:val="el-GR"/>
              </w:rPr>
            </w:pPr>
          </w:p>
          <w:p w:rsidR="000F64AE" w:rsidRPr="0016696B" w:rsidRDefault="000F64AE" w:rsidP="00F54D6C">
            <w:pPr>
              <w:pStyle w:val="BodyText"/>
              <w:rPr>
                <w:lang w:val="el-GR"/>
              </w:rPr>
            </w:pPr>
          </w:p>
          <w:p w:rsidR="000F64AE" w:rsidRPr="0016696B" w:rsidRDefault="000F64AE" w:rsidP="00F54D6C">
            <w:pPr>
              <w:pStyle w:val="BodyText"/>
              <w:rPr>
                <w:lang w:val="el-GR"/>
              </w:rPr>
            </w:pPr>
          </w:p>
          <w:p w:rsidR="000F64AE" w:rsidRPr="0016696B" w:rsidRDefault="000F64AE" w:rsidP="00F54D6C">
            <w:pPr>
              <w:pStyle w:val="BodyText"/>
              <w:rPr>
                <w:lang w:val="el-GR"/>
              </w:rPr>
            </w:pPr>
          </w:p>
          <w:p w:rsidR="000F64AE" w:rsidRPr="0016696B" w:rsidRDefault="000F64AE" w:rsidP="00F54D6C">
            <w:pPr>
              <w:pStyle w:val="BodyText"/>
              <w:rPr>
                <w:lang w:val="el-GR"/>
              </w:rPr>
            </w:pPr>
          </w:p>
          <w:p w:rsidR="000F64AE" w:rsidRPr="0016696B" w:rsidRDefault="000F64AE" w:rsidP="00F54D6C">
            <w:pPr>
              <w:pStyle w:val="BodyText"/>
              <w:rPr>
                <w:lang w:val="el-GR"/>
              </w:rPr>
            </w:pPr>
          </w:p>
          <w:p w:rsidR="000F64AE" w:rsidRPr="0016696B" w:rsidRDefault="000F64AE" w:rsidP="00F54D6C">
            <w:pPr>
              <w:pStyle w:val="BodyText"/>
              <w:rPr>
                <w:lang w:val="el-GR"/>
              </w:rPr>
            </w:pPr>
          </w:p>
          <w:p w:rsidR="00E0161A" w:rsidRDefault="000F64AE" w:rsidP="00F54D6C">
            <w:pPr>
              <w:pStyle w:val="BodyText"/>
              <w:rPr>
                <w:lang w:val="en-US"/>
              </w:rPr>
            </w:pPr>
            <w:r>
              <w:rPr>
                <w:lang w:val="en-US"/>
              </w:rPr>
              <w:sym w:font="Wingdings" w:char="F026"/>
            </w:r>
            <w:r w:rsidR="00323240">
              <w:rPr>
                <w:lang w:val="el-GR"/>
              </w:rPr>
              <w:t>Βλ</w:t>
            </w:r>
            <w:r w:rsidR="00323240" w:rsidRPr="00323240">
              <w:rPr>
                <w:lang w:val="en-US"/>
              </w:rPr>
              <w:t xml:space="preserve">. </w:t>
            </w:r>
            <w:r w:rsidR="00323240">
              <w:rPr>
                <w:lang w:val="el-GR"/>
              </w:rPr>
              <w:t>επίσης</w:t>
            </w:r>
            <w:r>
              <w:rPr>
                <w:lang w:val="en-US"/>
              </w:rPr>
              <w:t xml:space="preserve">: </w:t>
            </w:r>
            <w:r>
              <w:rPr>
                <w:lang w:val="en-US"/>
              </w:rPr>
              <w:br/>
            </w:r>
            <w:r w:rsidRPr="006F4D58">
              <w:rPr>
                <w:i/>
                <w:lang w:val="en-US"/>
              </w:rPr>
              <w:t>“Pretrial Detainees and Torture: Why Pretrial Detainees Face the Greatest Risk”</w:t>
            </w:r>
            <w:r>
              <w:rPr>
                <w:lang w:val="en-US"/>
              </w:rPr>
              <w:t>, Open Society Foundations</w:t>
            </w:r>
            <w:r w:rsidR="006F4D58">
              <w:rPr>
                <w:lang w:val="en-US"/>
              </w:rPr>
              <w:t>, Ludwig Boltzmann Institute of Human Rights, University of Bristol</w:t>
            </w:r>
            <w:r>
              <w:rPr>
                <w:lang w:val="en-US"/>
              </w:rPr>
              <w:t>, 2011</w:t>
            </w:r>
          </w:p>
          <w:p w:rsidR="00E0161A" w:rsidRDefault="00E0161A" w:rsidP="00F54D6C">
            <w:pPr>
              <w:pStyle w:val="BodyText"/>
              <w:rPr>
                <w:lang w:val="en-US"/>
              </w:rPr>
            </w:pPr>
          </w:p>
          <w:p w:rsidR="001D7B9B" w:rsidRDefault="001D7B9B" w:rsidP="00F54D6C">
            <w:pPr>
              <w:pStyle w:val="BodyText"/>
              <w:rPr>
                <w:lang w:val="en-US"/>
              </w:rPr>
            </w:pPr>
          </w:p>
          <w:p w:rsidR="000F64AE" w:rsidRDefault="000F64AE" w:rsidP="00F54D6C">
            <w:pPr>
              <w:pStyle w:val="BodyText"/>
              <w:rPr>
                <w:lang w:val="en-US"/>
              </w:rPr>
            </w:pPr>
          </w:p>
          <w:p w:rsidR="000F64AE" w:rsidRDefault="000F64AE"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1D7B9B" w:rsidRDefault="001D7B9B" w:rsidP="00A71E44">
            <w:pPr>
              <w:pStyle w:val="Didacticremark"/>
              <w:numPr>
                <w:ilvl w:val="0"/>
                <w:numId w:val="0"/>
              </w:numPr>
            </w:pPr>
          </w:p>
          <w:p w:rsidR="00486F4A" w:rsidRDefault="00486F4A" w:rsidP="00A71E44">
            <w:pPr>
              <w:pStyle w:val="Didacticremark"/>
              <w:numPr>
                <w:ilvl w:val="0"/>
                <w:numId w:val="0"/>
              </w:numPr>
            </w:pPr>
          </w:p>
          <w:p w:rsidR="00486F4A" w:rsidRDefault="00486F4A" w:rsidP="00A71E44">
            <w:pPr>
              <w:pStyle w:val="Didacticremark"/>
              <w:numPr>
                <w:ilvl w:val="0"/>
                <w:numId w:val="0"/>
              </w:numPr>
            </w:pPr>
          </w:p>
          <w:p w:rsidR="00486F4A" w:rsidRDefault="00486F4A" w:rsidP="00A71E44">
            <w:pPr>
              <w:pStyle w:val="Didacticremark"/>
              <w:numPr>
                <w:ilvl w:val="0"/>
                <w:numId w:val="0"/>
              </w:numPr>
            </w:pPr>
          </w:p>
          <w:p w:rsidR="00486F4A" w:rsidRDefault="00486F4A" w:rsidP="00A71E44">
            <w:pPr>
              <w:pStyle w:val="Didacticremark"/>
              <w:numPr>
                <w:ilvl w:val="0"/>
                <w:numId w:val="0"/>
              </w:numPr>
            </w:pPr>
          </w:p>
          <w:p w:rsidR="001A0C8F" w:rsidRPr="00DA09EF" w:rsidRDefault="00486F4A" w:rsidP="00A71E44">
            <w:pPr>
              <w:pStyle w:val="Didacticremark"/>
              <w:numPr>
                <w:ilvl w:val="0"/>
                <w:numId w:val="0"/>
              </w:numPr>
              <w:rPr>
                <w:lang w:val="el-GR"/>
              </w:rPr>
            </w:pPr>
            <w:r w:rsidRPr="00FF390C">
              <w:rPr>
                <w:i w:val="0"/>
              </w:rPr>
              <w:sym w:font="Wingdings" w:char="F026"/>
            </w:r>
            <w:r w:rsidRPr="00DA09EF">
              <w:rPr>
                <w:i w:val="0"/>
                <w:lang w:val="el-GR"/>
              </w:rPr>
              <w:t xml:space="preserve"> </w:t>
            </w:r>
            <w:r w:rsidR="00DA09EF">
              <w:rPr>
                <w:i w:val="0"/>
                <w:lang w:val="el-GR"/>
              </w:rPr>
              <w:t>Βλ</w:t>
            </w:r>
            <w:r w:rsidRPr="00DA09EF">
              <w:rPr>
                <w:i w:val="0"/>
                <w:lang w:val="el-GR"/>
              </w:rPr>
              <w:t xml:space="preserve">: </w:t>
            </w:r>
            <w:r w:rsidRPr="00DA09EF">
              <w:rPr>
                <w:lang w:val="el-GR"/>
              </w:rPr>
              <w:t>“</w:t>
            </w:r>
            <w:r w:rsidR="00DA09EF">
              <w:rPr>
                <w:lang w:val="el-GR"/>
              </w:rPr>
              <w:t>Αρχεία</w:t>
            </w:r>
            <w:r w:rsidR="00DA09EF" w:rsidRPr="00DA09EF">
              <w:rPr>
                <w:lang w:val="el-GR"/>
              </w:rPr>
              <w:t xml:space="preserve"> </w:t>
            </w:r>
            <w:r w:rsidR="00DA09EF">
              <w:rPr>
                <w:lang w:val="el-GR"/>
              </w:rPr>
              <w:t>ΟΗΕ</w:t>
            </w:r>
            <w:r w:rsidRPr="00DA09EF">
              <w:rPr>
                <w:lang w:val="el-GR"/>
              </w:rPr>
              <w:t xml:space="preserve">, </w:t>
            </w:r>
            <w:r>
              <w:t>C</w:t>
            </w:r>
            <w:r w:rsidR="002316E4">
              <w:t>AT</w:t>
            </w:r>
            <w:r w:rsidRPr="00DA09EF">
              <w:rPr>
                <w:lang w:val="el-GR"/>
              </w:rPr>
              <w:t xml:space="preserve"> </w:t>
            </w:r>
            <w:r>
              <w:t>Committee</w:t>
            </w:r>
            <w:r w:rsidRPr="00DA09EF">
              <w:rPr>
                <w:lang w:val="el-GR"/>
              </w:rPr>
              <w:t xml:space="preserve">, </w:t>
            </w:r>
            <w:r>
              <w:t>General</w:t>
            </w:r>
            <w:r w:rsidRPr="00DA09EF">
              <w:rPr>
                <w:lang w:val="el-GR"/>
              </w:rPr>
              <w:t xml:space="preserve"> </w:t>
            </w:r>
            <w:r>
              <w:t>Comment</w:t>
            </w:r>
            <w:r w:rsidRPr="00DA09EF">
              <w:rPr>
                <w:lang w:val="el-GR"/>
              </w:rPr>
              <w:t xml:space="preserve"> </w:t>
            </w:r>
            <w:r>
              <w:t>No</w:t>
            </w:r>
            <w:r w:rsidRPr="00DA09EF">
              <w:rPr>
                <w:lang w:val="el-GR"/>
              </w:rPr>
              <w:t xml:space="preserve">. 3, </w:t>
            </w:r>
            <w:r>
              <w:t>CAT</w:t>
            </w:r>
            <w:r w:rsidRPr="00DA09EF">
              <w:rPr>
                <w:lang w:val="el-GR"/>
              </w:rPr>
              <w:t>/</w:t>
            </w:r>
            <w:r>
              <w:t>C</w:t>
            </w:r>
            <w:r w:rsidRPr="00DA09EF">
              <w:rPr>
                <w:lang w:val="el-GR"/>
              </w:rPr>
              <w:t>/</w:t>
            </w:r>
            <w:r>
              <w:t>GC</w:t>
            </w:r>
            <w:r w:rsidRPr="00DA09EF">
              <w:rPr>
                <w:lang w:val="el-GR"/>
              </w:rPr>
              <w:t xml:space="preserve">/3, 2012, </w:t>
            </w:r>
            <w:r w:rsidR="00DA09EF">
              <w:rPr>
                <w:lang w:val="el-GR"/>
              </w:rPr>
              <w:t>στην</w:t>
            </w:r>
            <w:r w:rsidR="00DA09EF" w:rsidRPr="00DA09EF">
              <w:rPr>
                <w:lang w:val="el-GR"/>
              </w:rPr>
              <w:t xml:space="preserve"> </w:t>
            </w:r>
            <w:r w:rsidR="00DA09EF">
              <w:rPr>
                <w:lang w:val="el-GR"/>
              </w:rPr>
              <w:t>εφαρμογή</w:t>
            </w:r>
            <w:r w:rsidR="00DA09EF" w:rsidRPr="00DA09EF">
              <w:rPr>
                <w:lang w:val="el-GR"/>
              </w:rPr>
              <w:t xml:space="preserve"> </w:t>
            </w:r>
            <w:r w:rsidR="00DA09EF">
              <w:rPr>
                <w:lang w:val="el-GR"/>
              </w:rPr>
              <w:t>του</w:t>
            </w:r>
            <w:r w:rsidR="00DA09EF" w:rsidRPr="00DA09EF">
              <w:rPr>
                <w:lang w:val="el-GR"/>
              </w:rPr>
              <w:t xml:space="preserve"> </w:t>
            </w:r>
            <w:r w:rsidR="00DA09EF">
              <w:rPr>
                <w:lang w:val="el-GR"/>
              </w:rPr>
              <w:t>Άρθρου</w:t>
            </w:r>
            <w:r w:rsidR="00DA09EF" w:rsidRPr="00DA09EF">
              <w:rPr>
                <w:lang w:val="el-GR"/>
              </w:rPr>
              <w:t xml:space="preserve"> 14 </w:t>
            </w:r>
            <w:r w:rsidR="00DA09EF">
              <w:rPr>
                <w:lang w:val="el-GR"/>
              </w:rPr>
              <w:t>της</w:t>
            </w:r>
            <w:r w:rsidR="00DA09EF" w:rsidRPr="00DA09EF">
              <w:rPr>
                <w:lang w:val="el-GR"/>
              </w:rPr>
              <w:t xml:space="preserve"> </w:t>
            </w:r>
            <w:r w:rsidR="00DA09EF">
              <w:rPr>
                <w:lang w:val="el-GR"/>
              </w:rPr>
              <w:t>Σύμβασης</w:t>
            </w:r>
            <w:r w:rsidR="00DA09EF" w:rsidRPr="00DA09EF">
              <w:rPr>
                <w:lang w:val="el-GR"/>
              </w:rPr>
              <w:t xml:space="preserve"> </w:t>
            </w:r>
            <w:r w:rsidR="00DA09EF">
              <w:rPr>
                <w:lang w:val="el-GR"/>
              </w:rPr>
              <w:t>του</w:t>
            </w:r>
            <w:r w:rsidR="00DA09EF" w:rsidRPr="00DA09EF">
              <w:rPr>
                <w:lang w:val="el-GR"/>
              </w:rPr>
              <w:t xml:space="preserve"> </w:t>
            </w:r>
            <w:r w:rsidR="00DA09EF">
              <w:rPr>
                <w:lang w:val="el-GR"/>
              </w:rPr>
              <w:t>ΟΗΕ</w:t>
            </w:r>
            <w:r w:rsidR="00DA09EF" w:rsidRPr="00DA09EF">
              <w:rPr>
                <w:lang w:val="el-GR"/>
              </w:rPr>
              <w:t xml:space="preserve"> </w:t>
            </w:r>
            <w:r w:rsidR="00DA09EF">
              <w:rPr>
                <w:lang w:val="el-GR"/>
              </w:rPr>
              <w:t>κατά</w:t>
            </w:r>
            <w:r w:rsidR="00DA09EF" w:rsidRPr="00DA09EF">
              <w:rPr>
                <w:lang w:val="el-GR"/>
              </w:rPr>
              <w:t xml:space="preserve"> </w:t>
            </w:r>
            <w:r w:rsidR="00DA09EF">
              <w:rPr>
                <w:lang w:val="el-GR"/>
              </w:rPr>
              <w:t>των</w:t>
            </w:r>
            <w:r w:rsidR="00DA09EF" w:rsidRPr="00DA09EF">
              <w:rPr>
                <w:lang w:val="el-GR"/>
              </w:rPr>
              <w:t xml:space="preserve"> </w:t>
            </w:r>
            <w:r w:rsidR="00DA09EF">
              <w:rPr>
                <w:lang w:val="el-GR"/>
              </w:rPr>
              <w:t>βασανιστηρίων</w:t>
            </w:r>
            <w:r w:rsidRPr="00DA09EF">
              <w:rPr>
                <w:lang w:val="el-GR"/>
              </w:rPr>
              <w:t>”</w:t>
            </w:r>
          </w:p>
          <w:p w:rsidR="00E0161A" w:rsidRPr="00DA09EF" w:rsidRDefault="00E0161A" w:rsidP="00A71E44">
            <w:pPr>
              <w:pStyle w:val="Didacticremark"/>
              <w:numPr>
                <w:ilvl w:val="0"/>
                <w:numId w:val="0"/>
              </w:numPr>
              <w:rPr>
                <w:lang w:val="el-GR"/>
              </w:rPr>
            </w:pPr>
          </w:p>
          <w:p w:rsidR="001A0C8F" w:rsidRPr="00DA09EF" w:rsidRDefault="001A0C8F" w:rsidP="00FF390C"/>
          <w:p w:rsidR="001A0C8F" w:rsidRPr="00DA09EF" w:rsidRDefault="001A0C8F" w:rsidP="00FF390C"/>
          <w:p w:rsidR="001A0C8F" w:rsidRPr="00DA09EF" w:rsidRDefault="001A0C8F" w:rsidP="00FF390C"/>
          <w:p w:rsidR="001A0C8F" w:rsidRPr="00DA09EF" w:rsidRDefault="001A0C8F" w:rsidP="00FF390C"/>
          <w:p w:rsidR="001A0C8F" w:rsidRPr="00DA09EF" w:rsidRDefault="001A0C8F" w:rsidP="00FF390C"/>
          <w:p w:rsidR="001A0C8F" w:rsidRPr="00DA09EF" w:rsidRDefault="001A0C8F" w:rsidP="001A0C8F">
            <w:pPr>
              <w:rPr>
                <w:lang w:eastAsia="en-US"/>
              </w:rPr>
            </w:pPr>
          </w:p>
          <w:p w:rsidR="001A0C8F" w:rsidRPr="003C1833" w:rsidRDefault="001A0C8F" w:rsidP="00FF390C">
            <w:pPr>
              <w:spacing w:line="240" w:lineRule="auto"/>
            </w:pPr>
            <w:r w:rsidRPr="00514AFC">
              <w:sym w:font="Wingdings" w:char="F026"/>
            </w:r>
            <w:r w:rsidRPr="003C1833">
              <w:t xml:space="preserve"> </w:t>
            </w:r>
            <w:r w:rsidR="003C1833">
              <w:t>Βλ</w:t>
            </w:r>
            <w:r w:rsidRPr="003C1833">
              <w:t>:</w:t>
            </w:r>
            <w:r w:rsidRPr="003C1833">
              <w:br/>
            </w:r>
            <w:r w:rsidRPr="00FF390C">
              <w:rPr>
                <w:i/>
                <w:lang w:val="en-US"/>
              </w:rPr>
              <w:t>Guridi</w:t>
            </w:r>
            <w:r w:rsidRPr="003C1833">
              <w:rPr>
                <w:i/>
              </w:rPr>
              <w:t xml:space="preserve"> </w:t>
            </w:r>
            <w:r w:rsidR="003C1833">
              <w:rPr>
                <w:i/>
              </w:rPr>
              <w:t>κατά Ισπανίας</w:t>
            </w:r>
            <w:r w:rsidRPr="003C1833">
              <w:rPr>
                <w:i/>
              </w:rPr>
              <w:t xml:space="preserve">, </w:t>
            </w:r>
            <w:r w:rsidRPr="00FF390C">
              <w:rPr>
                <w:lang w:val="en-US"/>
              </w:rPr>
              <w:t>CAT</w:t>
            </w:r>
            <w:r w:rsidRPr="003C1833">
              <w:t xml:space="preserve">,212/2002, 17 </w:t>
            </w:r>
            <w:r w:rsidR="003C1833" w:rsidRPr="003C1833">
              <w:t>Μ</w:t>
            </w:r>
            <w:r w:rsidR="003C1833">
              <w:t xml:space="preserve">αΐου </w:t>
            </w:r>
            <w:r w:rsidRPr="003C1833">
              <w:t>2005</w:t>
            </w:r>
          </w:p>
          <w:p w:rsidR="001A0C8F" w:rsidRPr="003C1833" w:rsidRDefault="001A0C8F" w:rsidP="003C1833">
            <w:pPr>
              <w:spacing w:line="240" w:lineRule="auto"/>
            </w:pPr>
            <w:r>
              <w:rPr>
                <w:i/>
                <w:lang w:val="en-US"/>
              </w:rPr>
              <w:t>Vargas</w:t>
            </w:r>
            <w:r w:rsidRPr="003C1833">
              <w:rPr>
                <w:i/>
              </w:rPr>
              <w:t xml:space="preserve"> </w:t>
            </w:r>
            <w:r>
              <w:rPr>
                <w:i/>
                <w:lang w:val="en-US"/>
              </w:rPr>
              <w:t>Areco</w:t>
            </w:r>
            <w:r w:rsidRPr="003C1833">
              <w:rPr>
                <w:i/>
              </w:rPr>
              <w:t xml:space="preserve"> </w:t>
            </w:r>
            <w:r w:rsidR="003C1833">
              <w:rPr>
                <w:i/>
              </w:rPr>
              <w:t>κατά</w:t>
            </w:r>
            <w:r w:rsidR="003C1833" w:rsidRPr="003C1833">
              <w:rPr>
                <w:i/>
              </w:rPr>
              <w:t xml:space="preserve"> </w:t>
            </w:r>
            <w:r w:rsidR="003C1833">
              <w:rPr>
                <w:i/>
              </w:rPr>
              <w:t>Παραγουάης</w:t>
            </w:r>
            <w:r w:rsidRPr="003C1833">
              <w:t xml:space="preserve">, </w:t>
            </w:r>
            <w:r w:rsidR="003C1833">
              <w:t>Παναμερικανικό Δικαστήριο Ανθρωπίνων Δικαιωμάτων</w:t>
            </w:r>
            <w:r w:rsidRPr="003C1833">
              <w:t xml:space="preserve">, 26 </w:t>
            </w:r>
            <w:r w:rsidR="003C1833">
              <w:t>Σεπτεμβρίου</w:t>
            </w:r>
            <w:r w:rsidRPr="003C1833">
              <w:t xml:space="preserve"> 2006</w:t>
            </w:r>
          </w:p>
        </w:tc>
      </w:tr>
      <w:tr w:rsidR="000F64AE" w:rsidRPr="00C524A5" w:rsidTr="00F54D6C">
        <w:tc>
          <w:tcPr>
            <w:tcW w:w="7337" w:type="dxa"/>
          </w:tcPr>
          <w:p w:rsidR="000F64AE" w:rsidRPr="00662056" w:rsidRDefault="00785C46" w:rsidP="00F32071">
            <w:pPr>
              <w:pStyle w:val="Heading1"/>
            </w:pPr>
            <w:r w:rsidRPr="00785C46">
              <w:lastRenderedPageBreak/>
              <w:t>Τεκμηρίωση και Έρευνα</w:t>
            </w:r>
          </w:p>
        </w:tc>
        <w:tc>
          <w:tcPr>
            <w:tcW w:w="2552" w:type="dxa"/>
            <w:tcMar>
              <w:left w:w="170" w:type="dxa"/>
            </w:tcMar>
          </w:tcPr>
          <w:p w:rsidR="000F64AE" w:rsidRPr="00FB4875" w:rsidRDefault="000F64AE" w:rsidP="00F54D6C">
            <w:pPr>
              <w:pStyle w:val="Heading1"/>
              <w:numPr>
                <w:ilvl w:val="0"/>
                <w:numId w:val="0"/>
              </w:numPr>
              <w:ind w:left="360"/>
            </w:pPr>
          </w:p>
        </w:tc>
      </w:tr>
      <w:tr w:rsidR="000F64AE" w:rsidRPr="002F2069" w:rsidTr="00F54D6C">
        <w:tc>
          <w:tcPr>
            <w:tcW w:w="7337" w:type="dxa"/>
          </w:tcPr>
          <w:p w:rsidR="00D77A68" w:rsidRPr="00D77A68" w:rsidRDefault="00D77A68" w:rsidP="00D77A68">
            <w:pPr>
              <w:pStyle w:val="FormatvorlageTextkrperRechts05cm"/>
              <w:rPr>
                <w:lang w:val="el-GR"/>
              </w:rPr>
            </w:pPr>
            <w:r w:rsidRPr="00D77A68">
              <w:rPr>
                <w:lang w:val="el-GR"/>
              </w:rPr>
              <w:t>Η αποτελεσματική διερεύνηση και τεκμηρίωση των βασανιστηρίων και της κακ</w:t>
            </w:r>
            <w:r>
              <w:rPr>
                <w:lang w:val="el-GR"/>
              </w:rPr>
              <w:t xml:space="preserve">ής </w:t>
            </w:r>
            <w:r w:rsidRPr="00D77A68">
              <w:rPr>
                <w:lang w:val="el-GR"/>
              </w:rPr>
              <w:t xml:space="preserve">μεταχείρισης είναι απαραίτητες για την έκθεση και την εξάλειψη των εν λόγω πράξεων, </w:t>
            </w:r>
            <w:r>
              <w:rPr>
                <w:lang w:val="el-GR"/>
              </w:rPr>
              <w:t>καθώς και για πιθανές αξιώσεις των θυμάτων βασανιστηρίων για</w:t>
            </w:r>
            <w:r w:rsidRPr="00D77A68">
              <w:rPr>
                <w:lang w:val="el-GR"/>
              </w:rPr>
              <w:t xml:space="preserve"> αποκατάσταση</w:t>
            </w:r>
            <w:r>
              <w:rPr>
                <w:lang w:val="el-GR"/>
              </w:rPr>
              <w:t>.</w:t>
            </w:r>
          </w:p>
          <w:p w:rsidR="00D77A68" w:rsidRDefault="00D77A68" w:rsidP="00F12F22">
            <w:pPr>
              <w:pStyle w:val="FormatvorlageTextkrperRechts05cm"/>
              <w:rPr>
                <w:lang w:val="el-GR"/>
              </w:rPr>
            </w:pPr>
            <w:r w:rsidRPr="00D77A68">
              <w:rPr>
                <w:lang w:val="el-GR"/>
              </w:rPr>
              <w:t>Το Πρωτόκολλο της Κωνσταντινούπολης τονίζει ρητά τον κρίσιμο ρόλο των νομικών επαγγελμάτων στην τεκμηρ</w:t>
            </w:r>
            <w:r w:rsidR="00C42479">
              <w:rPr>
                <w:lang w:val="el-GR"/>
              </w:rPr>
              <w:t xml:space="preserve">ίωση και τη διερεύνηση καταγγελιών για βασανιστήρια και κακή </w:t>
            </w:r>
            <w:r w:rsidRPr="00D77A68">
              <w:rPr>
                <w:lang w:val="el-GR"/>
              </w:rPr>
              <w:t>μεταχείρι</w:t>
            </w:r>
            <w:r w:rsidR="00C42479">
              <w:rPr>
                <w:lang w:val="el-GR"/>
              </w:rPr>
              <w:t xml:space="preserve">ση, λόγω της συχνά αποκλειστικής </w:t>
            </w:r>
            <w:r w:rsidRPr="00D77A68">
              <w:rPr>
                <w:lang w:val="el-GR"/>
              </w:rPr>
              <w:t>εγγύτητάς τους με κρατουμένους σ</w:t>
            </w:r>
            <w:r w:rsidR="00C42479">
              <w:rPr>
                <w:lang w:val="el-GR"/>
              </w:rPr>
              <w:t>τα</w:t>
            </w:r>
            <w:r w:rsidRPr="00D77A68">
              <w:rPr>
                <w:lang w:val="el-GR"/>
              </w:rPr>
              <w:t xml:space="preserve"> διαδοχικά στάδια της ποινική</w:t>
            </w:r>
            <w:r w:rsidR="00C42479">
              <w:rPr>
                <w:lang w:val="el-GR"/>
              </w:rPr>
              <w:t xml:space="preserve">ς διαδικασίας, που τους επιτρέπει </w:t>
            </w:r>
            <w:r w:rsidRPr="00D77A68">
              <w:rPr>
                <w:lang w:val="el-GR"/>
              </w:rPr>
              <w:t xml:space="preserve"> να υποστηρίζουν τις έρευνες των πράξεων των βασανιστηρίων και </w:t>
            </w:r>
            <w:r w:rsidR="00C42479">
              <w:rPr>
                <w:lang w:val="el-GR"/>
              </w:rPr>
              <w:t xml:space="preserve">της </w:t>
            </w:r>
            <w:r w:rsidRPr="00D77A68">
              <w:rPr>
                <w:lang w:val="el-GR"/>
              </w:rPr>
              <w:t>κακ</w:t>
            </w:r>
            <w:r w:rsidR="00C42479">
              <w:rPr>
                <w:lang w:val="el-GR"/>
              </w:rPr>
              <w:t xml:space="preserve">ής μεταχείριση, ή να καταστήσουν </w:t>
            </w:r>
            <w:r w:rsidRPr="00D77A68">
              <w:rPr>
                <w:lang w:val="el-GR"/>
              </w:rPr>
              <w:t xml:space="preserve">δυνατή </w:t>
            </w:r>
            <w:r w:rsidR="00C42479">
              <w:rPr>
                <w:lang w:val="el-GR"/>
              </w:rPr>
              <w:t>τ</w:t>
            </w:r>
            <w:r w:rsidRPr="00D77A68">
              <w:rPr>
                <w:lang w:val="el-GR"/>
              </w:rPr>
              <w:t>η</w:t>
            </w:r>
            <w:r w:rsidR="00C42479">
              <w:rPr>
                <w:lang w:val="el-GR"/>
              </w:rPr>
              <w:t>ν έναρξη</w:t>
            </w:r>
            <w:r w:rsidRPr="00D77A68">
              <w:rPr>
                <w:lang w:val="el-GR"/>
              </w:rPr>
              <w:t xml:space="preserve"> μελλοντικών εργασιών. Η συλλογή των στοιχείων </w:t>
            </w:r>
            <w:r w:rsidR="00C42479">
              <w:rPr>
                <w:lang w:val="el-GR"/>
              </w:rPr>
              <w:t xml:space="preserve">είναι επίσης απαραίτητη για </w:t>
            </w:r>
            <w:r w:rsidRPr="00D77A68">
              <w:rPr>
                <w:lang w:val="el-GR"/>
              </w:rPr>
              <w:t xml:space="preserve">αξιώσεις αποζημιώσεως τόσο σε εθνικό ή / και διεθνές επίπεδο ενώπιον των δικαστικών ή διοικητικών οργάνων. Δεόντως τεκμηριωμένες καταγγελίες βασανιστηρίων μπορούν επίσης να </w:t>
            </w:r>
            <w:r w:rsidR="00C42479">
              <w:rPr>
                <w:lang w:val="el-GR"/>
              </w:rPr>
              <w:t>υποβληθούν ως γράμματα ισχυρισμού</w:t>
            </w:r>
            <w:r w:rsidRPr="00D77A68">
              <w:rPr>
                <w:lang w:val="el-GR"/>
              </w:rPr>
              <w:t>, επείγουσες εκκλήσεις και αναφορές σε διεθνή όργανα ελέγχου, όπως ο Ειδικός Εισηγητής του ΟΗΕ για τα βασανιστήρια (UNSRT), ή η Επιτροπή του ΟΗΕ κατά των Βασανιστηρίων.</w:t>
            </w:r>
          </w:p>
          <w:p w:rsidR="00C42479" w:rsidRDefault="00C42479" w:rsidP="00F12F22">
            <w:pPr>
              <w:pStyle w:val="FormatvorlageTextkrperRechts05cm"/>
              <w:rPr>
                <w:lang w:val="el-GR"/>
              </w:rPr>
            </w:pPr>
            <w:r w:rsidRPr="00C42479">
              <w:rPr>
                <w:lang w:val="el-GR"/>
              </w:rPr>
              <w:t>Οι έρευνες βάσει των αποδεικτικών στοιχείω</w:t>
            </w:r>
            <w:r>
              <w:rPr>
                <w:lang w:val="el-GR"/>
              </w:rPr>
              <w:t xml:space="preserve">ν των βασανιστηρίων και της κακής </w:t>
            </w:r>
            <w:r w:rsidRPr="00C42479">
              <w:rPr>
                <w:lang w:val="el-GR"/>
              </w:rPr>
              <w:t>μεταχείρισης που συλλέγονται από τους δικηγόρους θα πρέπει να είναι άμεσ</w:t>
            </w:r>
            <w:r>
              <w:rPr>
                <w:lang w:val="el-GR"/>
              </w:rPr>
              <w:t>ες</w:t>
            </w:r>
            <w:r w:rsidRPr="00C42479">
              <w:rPr>
                <w:lang w:val="el-GR"/>
              </w:rPr>
              <w:t>, αμερόληπτ</w:t>
            </w:r>
            <w:r>
              <w:rPr>
                <w:lang w:val="el-GR"/>
              </w:rPr>
              <w:t>ες</w:t>
            </w:r>
            <w:r w:rsidRPr="00C42479">
              <w:rPr>
                <w:lang w:val="el-GR"/>
              </w:rPr>
              <w:t xml:space="preserve"> και διεξοδικ</w:t>
            </w:r>
            <w:r>
              <w:rPr>
                <w:lang w:val="el-GR"/>
              </w:rPr>
              <w:t>ές</w:t>
            </w:r>
            <w:r w:rsidRPr="00C42479">
              <w:rPr>
                <w:lang w:val="el-GR"/>
              </w:rPr>
              <w:t>. Επιπλέον, όλα τα ε</w:t>
            </w:r>
            <w:r>
              <w:rPr>
                <w:lang w:val="el-GR"/>
              </w:rPr>
              <w:t xml:space="preserve">μπλεκόμενα μέρη (τα θύματα και οι </w:t>
            </w:r>
            <w:r w:rsidRPr="00C42479">
              <w:rPr>
                <w:lang w:val="el-GR"/>
              </w:rPr>
              <w:t>οικ</w:t>
            </w:r>
            <w:r>
              <w:rPr>
                <w:lang w:val="el-GR"/>
              </w:rPr>
              <w:t>ογένειέ</w:t>
            </w:r>
            <w:r w:rsidRPr="00C42479">
              <w:rPr>
                <w:lang w:val="el-GR"/>
              </w:rPr>
              <w:t>ς</w:t>
            </w:r>
            <w:r>
              <w:rPr>
                <w:lang w:val="el-GR"/>
              </w:rPr>
              <w:t xml:space="preserve"> τους</w:t>
            </w:r>
            <w:r w:rsidRPr="00C42479">
              <w:rPr>
                <w:lang w:val="el-GR"/>
              </w:rPr>
              <w:t xml:space="preserve">, </w:t>
            </w:r>
            <w:r>
              <w:rPr>
                <w:lang w:val="el-GR"/>
              </w:rPr>
              <w:t xml:space="preserve">οι </w:t>
            </w:r>
            <w:r w:rsidRPr="00C42479">
              <w:rPr>
                <w:lang w:val="el-GR"/>
              </w:rPr>
              <w:t xml:space="preserve">μάρτυρες, δικηγόροι, κ.λπ.) πρέπει να προστατεύονται έναντι ενδεχόμενων αντιποίνων. </w:t>
            </w:r>
            <w:r>
              <w:rPr>
                <w:lang w:val="el-GR"/>
              </w:rPr>
              <w:t>Ο</w:t>
            </w:r>
            <w:r w:rsidRPr="00C42479">
              <w:rPr>
                <w:lang w:val="el-GR"/>
              </w:rPr>
              <w:t xml:space="preserve"> μέγιστ</w:t>
            </w:r>
            <w:r>
              <w:rPr>
                <w:lang w:val="el-GR"/>
              </w:rPr>
              <w:t>ος</w:t>
            </w:r>
            <w:r w:rsidRPr="00C42479">
              <w:rPr>
                <w:lang w:val="el-GR"/>
              </w:rPr>
              <w:t xml:space="preserve"> στόχος </w:t>
            </w:r>
            <w:r>
              <w:rPr>
                <w:lang w:val="el-GR"/>
              </w:rPr>
              <w:t xml:space="preserve"> του να μην τεθεί σε κίνδυνο ο</w:t>
            </w:r>
            <w:r w:rsidRPr="00C42479">
              <w:rPr>
                <w:lang w:val="el-GR"/>
              </w:rPr>
              <w:t xml:space="preserve"> κρατούμενο</w:t>
            </w:r>
            <w:r>
              <w:rPr>
                <w:lang w:val="el-GR"/>
              </w:rPr>
              <w:t>ς</w:t>
            </w:r>
            <w:r w:rsidRPr="00C42479">
              <w:rPr>
                <w:lang w:val="el-GR"/>
              </w:rPr>
              <w:t xml:space="preserve"> απαιτεί επ</w:t>
            </w:r>
            <w:r>
              <w:rPr>
                <w:lang w:val="el-GR"/>
              </w:rPr>
              <w:t>ιπλέον</w:t>
            </w:r>
            <w:r w:rsidRPr="00C42479">
              <w:rPr>
                <w:lang w:val="el-GR"/>
              </w:rPr>
              <w:t xml:space="preserve"> την εμπιστευτικότητα της επικοινωνίας μεταξύ δικηγόρων και κρατουμένων, προκειμένου </w:t>
            </w:r>
            <w:r>
              <w:rPr>
                <w:lang w:val="el-GR"/>
              </w:rPr>
              <w:t>να τεκμηριωθούν πιθανές</w:t>
            </w:r>
            <w:r w:rsidRPr="00C42479">
              <w:rPr>
                <w:lang w:val="el-GR"/>
              </w:rPr>
              <w:t xml:space="preserve"> καταγ</w:t>
            </w:r>
            <w:r>
              <w:rPr>
                <w:lang w:val="el-GR"/>
              </w:rPr>
              <w:t xml:space="preserve">γελίες για βασανιστήρια και κακή </w:t>
            </w:r>
            <w:r w:rsidRPr="00C42479">
              <w:rPr>
                <w:lang w:val="el-GR"/>
              </w:rPr>
              <w:t xml:space="preserve">μεταχείριση. </w:t>
            </w:r>
            <w:r>
              <w:rPr>
                <w:lang w:val="el-GR"/>
              </w:rPr>
              <w:t>Ε</w:t>
            </w:r>
            <w:r w:rsidRPr="00C42479">
              <w:rPr>
                <w:lang w:val="el-GR"/>
              </w:rPr>
              <w:t xml:space="preserve">ίναι </w:t>
            </w:r>
            <w:r>
              <w:rPr>
                <w:lang w:val="el-GR"/>
              </w:rPr>
              <w:t xml:space="preserve">συνεπώς </w:t>
            </w:r>
            <w:r w:rsidRPr="00C42479">
              <w:rPr>
                <w:lang w:val="el-GR"/>
              </w:rPr>
              <w:t xml:space="preserve">ζωτικής σημασίας για τους νόμιμους αντιπροσώπους να </w:t>
            </w:r>
            <w:r>
              <w:rPr>
                <w:lang w:val="el-GR"/>
              </w:rPr>
              <w:t>μπορούν</w:t>
            </w:r>
            <w:r w:rsidRPr="00C42479">
              <w:rPr>
                <w:lang w:val="el-GR"/>
              </w:rPr>
              <w:t xml:space="preserve"> να πραγματοποιήσ</w:t>
            </w:r>
            <w:r>
              <w:rPr>
                <w:lang w:val="el-GR"/>
              </w:rPr>
              <w:t>ουν</w:t>
            </w:r>
            <w:r w:rsidRPr="00C42479">
              <w:rPr>
                <w:lang w:val="el-GR"/>
              </w:rPr>
              <w:t xml:space="preserve"> συνεντεύξεις χωρίς </w:t>
            </w:r>
            <w:r>
              <w:rPr>
                <w:lang w:val="el-GR"/>
              </w:rPr>
              <w:t xml:space="preserve">την </w:t>
            </w:r>
            <w:r>
              <w:rPr>
                <w:lang w:val="el-GR"/>
              </w:rPr>
              <w:lastRenderedPageBreak/>
              <w:t>παρουσία δημοσίων υπαλλήλων με τους πελάτες τους</w:t>
            </w:r>
            <w:r w:rsidRPr="00C42479">
              <w:rPr>
                <w:lang w:val="el-GR"/>
              </w:rPr>
              <w:t>. Επίσης, οι ισχυρισμοί θα πρέπει να διαβιβάζονται στην αρμόδια αρχή με τη ρητή συναίνεση του κρατουμένου.</w:t>
            </w:r>
          </w:p>
          <w:p w:rsidR="00D93D78" w:rsidRDefault="00D93D78" w:rsidP="0095667B">
            <w:pPr>
              <w:pStyle w:val="FormatvorlageTextkrperRechts05cm"/>
              <w:rPr>
                <w:lang w:val="el-GR"/>
              </w:rPr>
            </w:pPr>
            <w:r w:rsidRPr="00D93D78">
              <w:rPr>
                <w:lang w:val="el-GR"/>
              </w:rPr>
              <w:t>Είναι σημαντικό για τους δικηγόρους που εργάζονται με θύματα βασανιστηρίων να γνωρίζου</w:t>
            </w:r>
            <w:r>
              <w:rPr>
                <w:lang w:val="el-GR"/>
              </w:rPr>
              <w:t>ν</w:t>
            </w:r>
            <w:r w:rsidRPr="00D93D78">
              <w:rPr>
                <w:lang w:val="el-GR"/>
              </w:rPr>
              <w:t xml:space="preserve"> π</w:t>
            </w:r>
            <w:r>
              <w:rPr>
                <w:lang w:val="el-GR"/>
              </w:rPr>
              <w:t xml:space="preserve">ώς τεκμηριώνονται ιατρικώς τα </w:t>
            </w:r>
            <w:r w:rsidRPr="00D93D78">
              <w:rPr>
                <w:lang w:val="el-GR"/>
              </w:rPr>
              <w:t xml:space="preserve">βασανιστήρια </w:t>
            </w:r>
            <w:r>
              <w:rPr>
                <w:lang w:val="el-GR"/>
              </w:rPr>
              <w:t>και</w:t>
            </w:r>
            <w:r w:rsidRPr="00D93D78">
              <w:rPr>
                <w:lang w:val="el-GR"/>
              </w:rPr>
              <w:t xml:space="preserve"> πώς </w:t>
            </w:r>
            <w:r>
              <w:rPr>
                <w:lang w:val="el-GR"/>
              </w:rPr>
              <w:t>εντοπίζονται τα φυσικά και ψυχολογικά ίχνη των βασανιστηρίων και της κακής μεταχείρισης.</w:t>
            </w:r>
            <w:r w:rsidRPr="00D93D78">
              <w:rPr>
                <w:lang w:val="el-GR"/>
              </w:rPr>
              <w:t xml:space="preserve"> Με αυτή τη γνώση, οι δικηγ</w:t>
            </w:r>
            <w:r>
              <w:rPr>
                <w:lang w:val="el-GR"/>
              </w:rPr>
              <w:t>όροι είναι σε θέση να τεκμηριώσουν</w:t>
            </w:r>
            <w:r w:rsidRPr="00D93D78">
              <w:rPr>
                <w:lang w:val="el-GR"/>
              </w:rPr>
              <w:t xml:space="preserve"> τις περιπτώσεις </w:t>
            </w:r>
            <w:r w:rsidR="00E278F9">
              <w:rPr>
                <w:lang w:val="el-GR"/>
              </w:rPr>
              <w:t xml:space="preserve">σε βάθος </w:t>
            </w:r>
            <w:r w:rsidRPr="00D93D78">
              <w:rPr>
                <w:lang w:val="el-GR"/>
              </w:rPr>
              <w:t xml:space="preserve">για επόμενες καταγγελίες και τις έρευνες, και υπό αυτές τις συνθήκες μπορεί </w:t>
            </w:r>
            <w:r w:rsidR="00E278F9">
              <w:rPr>
                <w:lang w:val="el-GR"/>
              </w:rPr>
              <w:t xml:space="preserve">ορισμένες βασικές ιατρικές γνώσεις </w:t>
            </w:r>
            <w:r w:rsidRPr="00D93D78">
              <w:rPr>
                <w:lang w:val="el-GR"/>
              </w:rPr>
              <w:t xml:space="preserve">να είναι ιδιαίτερα </w:t>
            </w:r>
            <w:r w:rsidR="00E278F9">
              <w:rPr>
                <w:lang w:val="el-GR"/>
              </w:rPr>
              <w:t>επωφελεί</w:t>
            </w:r>
            <w:r w:rsidRPr="00D93D78">
              <w:rPr>
                <w:lang w:val="el-GR"/>
              </w:rPr>
              <w:t>ς για τους δικηγόρους.</w:t>
            </w:r>
          </w:p>
          <w:p w:rsidR="000F64AE" w:rsidRDefault="00E278F9" w:rsidP="00F54D6C">
            <w:pPr>
              <w:pStyle w:val="FormatvorlageTextkrperRechts05cm"/>
              <w:rPr>
                <w:lang w:val="el-GR"/>
              </w:rPr>
            </w:pPr>
            <w:r w:rsidRPr="00E278F9">
              <w:rPr>
                <w:lang w:val="el-GR"/>
              </w:rPr>
              <w:t>Εν προκειμένω, η στενή συνεργασία και ανταλλαγή γνώσεων μεταξύ των ιατρών και των νομικών επαγγελμ</w:t>
            </w:r>
            <w:r>
              <w:rPr>
                <w:lang w:val="el-GR"/>
              </w:rPr>
              <w:t>ατιώ</w:t>
            </w:r>
            <w:r w:rsidRPr="00E278F9">
              <w:rPr>
                <w:lang w:val="el-GR"/>
              </w:rPr>
              <w:t>ν είναι εξαιρετικά σημαντική για τη διεξαγωγή των συνεντεύξεων με πιθανά θύματα βασανιστηρίων. Ειδικότερα, οι καταγγελίες γι</w:t>
            </w:r>
            <w:r>
              <w:rPr>
                <w:lang w:val="el-GR"/>
              </w:rPr>
              <w:t>α λογαριασμό των πελατών τους</w:t>
            </w:r>
            <w:r w:rsidRPr="00E278F9">
              <w:rPr>
                <w:lang w:val="el-GR"/>
              </w:rPr>
              <w:t xml:space="preserve"> έχουν</w:t>
            </w:r>
            <w:r>
              <w:rPr>
                <w:lang w:val="el-GR"/>
              </w:rPr>
              <w:t xml:space="preserve"> ένα πολύ ισχυρότερο</w:t>
            </w:r>
            <w:r w:rsidRPr="00E278F9">
              <w:rPr>
                <w:lang w:val="el-GR"/>
              </w:rPr>
              <w:t xml:space="preserve"> θεμέλιο εάν υποστηρίζ</w:t>
            </w:r>
            <w:r>
              <w:rPr>
                <w:lang w:val="el-GR"/>
              </w:rPr>
              <w:t>ονται</w:t>
            </w:r>
            <w:r w:rsidRPr="00E278F9">
              <w:rPr>
                <w:lang w:val="el-GR"/>
              </w:rPr>
              <w:t xml:space="preserve"> από </w:t>
            </w:r>
            <w:r>
              <w:rPr>
                <w:lang w:val="el-GR"/>
              </w:rPr>
              <w:t>μία αναφορά</w:t>
            </w:r>
            <w:r w:rsidRPr="00E278F9">
              <w:rPr>
                <w:lang w:val="el-GR"/>
              </w:rPr>
              <w:t xml:space="preserve"> όσο το δυνατό ακριβέστερη </w:t>
            </w:r>
            <w:r>
              <w:rPr>
                <w:lang w:val="el-GR"/>
              </w:rPr>
              <w:t>σχετικά με</w:t>
            </w:r>
            <w:r w:rsidRPr="00E278F9">
              <w:rPr>
                <w:lang w:val="el-GR"/>
              </w:rPr>
              <w:t xml:space="preserve"> τ</w:t>
            </w:r>
            <w:r>
              <w:rPr>
                <w:lang w:val="el-GR"/>
              </w:rPr>
              <w:t xml:space="preserve">ο είδος των βασανιστηρίων ή της κακής </w:t>
            </w:r>
            <w:r w:rsidRPr="00E278F9">
              <w:rPr>
                <w:lang w:val="el-GR"/>
              </w:rPr>
              <w:t>μεταχείρισης που υπέστη</w:t>
            </w:r>
            <w:r>
              <w:rPr>
                <w:lang w:val="el-GR"/>
              </w:rPr>
              <w:t xml:space="preserve"> </w:t>
            </w:r>
            <w:r w:rsidRPr="00E278F9">
              <w:rPr>
                <w:lang w:val="el-GR"/>
              </w:rPr>
              <w:t>το θύμα. Εκτός από τα δικά τους συμπεράσματα, οι δικη</w:t>
            </w:r>
            <w:r>
              <w:rPr>
                <w:lang w:val="el-GR"/>
              </w:rPr>
              <w:t>γόροι θα πρέπει πάντα να μεριμνούν</w:t>
            </w:r>
            <w:r w:rsidRPr="00E278F9">
              <w:rPr>
                <w:lang w:val="el-GR"/>
              </w:rPr>
              <w:t xml:space="preserve"> για την ανεξάρτητη ιατρική εξέταση </w:t>
            </w:r>
            <w:r>
              <w:rPr>
                <w:lang w:val="el-GR"/>
              </w:rPr>
              <w:t xml:space="preserve">ενός </w:t>
            </w:r>
            <w:r w:rsidRPr="00E278F9">
              <w:rPr>
                <w:lang w:val="el-GR"/>
              </w:rPr>
              <w:t xml:space="preserve">κρατουμένου </w:t>
            </w:r>
            <w:r>
              <w:rPr>
                <w:lang w:val="el-GR"/>
              </w:rPr>
              <w:t xml:space="preserve">που πιθανώς υπέστη βασανιστήρια </w:t>
            </w:r>
            <w:r w:rsidRPr="00E278F9">
              <w:rPr>
                <w:lang w:val="el-GR"/>
              </w:rPr>
              <w:t xml:space="preserve">και να χρησιμοποιούν </w:t>
            </w:r>
            <w:r>
              <w:rPr>
                <w:lang w:val="el-GR"/>
              </w:rPr>
              <w:t xml:space="preserve">τις </w:t>
            </w:r>
            <w:r w:rsidRPr="00E278F9">
              <w:rPr>
                <w:lang w:val="el-GR"/>
              </w:rPr>
              <w:t>ιατρικές γνώσεις για να ενισχύσ</w:t>
            </w:r>
            <w:r>
              <w:rPr>
                <w:lang w:val="el-GR"/>
              </w:rPr>
              <w:t>ουν</w:t>
            </w:r>
            <w:r w:rsidRPr="00E278F9">
              <w:rPr>
                <w:lang w:val="el-GR"/>
              </w:rPr>
              <w:t xml:space="preserve"> τη θέση τους στη διαδικασία υποβολής καταγγελίας και </w:t>
            </w:r>
            <w:r>
              <w:rPr>
                <w:lang w:val="el-GR"/>
              </w:rPr>
              <w:t>στην μετέπειτα δίκη</w:t>
            </w:r>
            <w:r w:rsidRPr="00E278F9">
              <w:rPr>
                <w:lang w:val="el-GR"/>
              </w:rPr>
              <w:t>.</w:t>
            </w:r>
            <w:r>
              <w:rPr>
                <w:lang w:val="el-GR"/>
              </w:rPr>
              <w:t xml:space="preserve"> Αυτοί οι κανόνες αποτελούν</w:t>
            </w:r>
            <w:r w:rsidRPr="00E278F9">
              <w:rPr>
                <w:lang w:val="el-GR"/>
              </w:rPr>
              <w:t xml:space="preserve"> θεμελιώδη βήματα </w:t>
            </w:r>
            <w:r>
              <w:rPr>
                <w:lang w:val="el-GR"/>
              </w:rPr>
              <w:t xml:space="preserve">για </w:t>
            </w:r>
            <w:r w:rsidRPr="00E278F9">
              <w:rPr>
                <w:lang w:val="el-GR"/>
              </w:rPr>
              <w:t>να διασφαλιστεί η ικανό</w:t>
            </w:r>
            <w:r>
              <w:rPr>
                <w:lang w:val="el-GR"/>
              </w:rPr>
              <w:t>τητα των δικηγόρων να εκπληρώσουν</w:t>
            </w:r>
            <w:r w:rsidRPr="00E278F9">
              <w:rPr>
                <w:lang w:val="el-GR"/>
              </w:rPr>
              <w:t xml:space="preserve"> τον ουσιαστικό ρόλο τους στην τεκμηρίωση και τη διερεύνηση των ισχυ</w:t>
            </w:r>
            <w:r>
              <w:rPr>
                <w:lang w:val="el-GR"/>
              </w:rPr>
              <w:t xml:space="preserve">ρισμών για βασανιστήρια και κακή </w:t>
            </w:r>
            <w:r w:rsidRPr="00E278F9">
              <w:rPr>
                <w:lang w:val="el-GR"/>
              </w:rPr>
              <w:t>μεταχείριση.</w:t>
            </w:r>
          </w:p>
          <w:p w:rsidR="00D42F29" w:rsidRPr="002F2069" w:rsidRDefault="00D42F29" w:rsidP="00F54D6C">
            <w:pPr>
              <w:pStyle w:val="FormatvorlageTextkrperRechts05cm"/>
              <w:rPr>
                <w:lang w:val="el-GR"/>
              </w:rPr>
            </w:pPr>
          </w:p>
        </w:tc>
        <w:tc>
          <w:tcPr>
            <w:tcW w:w="2552" w:type="dxa"/>
            <w:tcMar>
              <w:left w:w="170" w:type="dxa"/>
            </w:tcMar>
          </w:tcPr>
          <w:p w:rsidR="000F64AE" w:rsidRPr="002F2069" w:rsidRDefault="000F64AE" w:rsidP="00F54D6C">
            <w:pPr>
              <w:pStyle w:val="FormatvorlageTextkrperRechts05cm"/>
              <w:rPr>
                <w:lang w:val="el-GR"/>
              </w:rPr>
            </w:pPr>
          </w:p>
        </w:tc>
      </w:tr>
      <w:tr w:rsidR="000F64AE" w:rsidRPr="00C524A5" w:rsidTr="00F54D6C">
        <w:tc>
          <w:tcPr>
            <w:tcW w:w="7337" w:type="dxa"/>
          </w:tcPr>
          <w:p w:rsidR="000F64AE" w:rsidRPr="00FB4875" w:rsidRDefault="00785C46" w:rsidP="00F54D6C">
            <w:pPr>
              <w:pStyle w:val="Heading1"/>
            </w:pPr>
            <w:r w:rsidRPr="00785C46">
              <w:lastRenderedPageBreak/>
              <w:t>Προληπτική Παρακολούθηση</w:t>
            </w:r>
          </w:p>
        </w:tc>
        <w:tc>
          <w:tcPr>
            <w:tcW w:w="2552" w:type="dxa"/>
            <w:tcMar>
              <w:left w:w="170" w:type="dxa"/>
            </w:tcMar>
          </w:tcPr>
          <w:p w:rsidR="000F64AE" w:rsidRPr="00FB4875" w:rsidRDefault="000F64AE" w:rsidP="00F54D6C">
            <w:pPr>
              <w:pStyle w:val="Heading1"/>
              <w:numPr>
                <w:ilvl w:val="0"/>
                <w:numId w:val="0"/>
              </w:numPr>
              <w:ind w:left="360"/>
            </w:pPr>
          </w:p>
        </w:tc>
      </w:tr>
      <w:tr w:rsidR="000F64AE" w:rsidRPr="0009510C" w:rsidTr="00F54D6C">
        <w:tc>
          <w:tcPr>
            <w:tcW w:w="7337" w:type="dxa"/>
          </w:tcPr>
          <w:p w:rsidR="002F2069" w:rsidRPr="002F2069" w:rsidRDefault="002F2069" w:rsidP="002F2069">
            <w:pPr>
              <w:pStyle w:val="FormatvorlageTextkrperRechts05cm"/>
              <w:rPr>
                <w:lang w:val="el-GR"/>
              </w:rPr>
            </w:pPr>
            <w:r w:rsidRPr="002F2069">
              <w:rPr>
                <w:lang w:val="el-GR"/>
              </w:rPr>
              <w:t>Η προστασία της αξιοπρέπειας των ιδιαίτερα ευάλωτων ατόμων που στερούνται της ελευθερίας τους, μπορεί να βοηθ</w:t>
            </w:r>
            <w:r w:rsidR="00677C5A">
              <w:rPr>
                <w:lang w:val="el-GR"/>
              </w:rPr>
              <w:t xml:space="preserve">ηθεί μέσω μιας </w:t>
            </w:r>
            <w:r w:rsidRPr="002F2069">
              <w:rPr>
                <w:lang w:val="el-GR"/>
              </w:rPr>
              <w:t>αποτελεσματική</w:t>
            </w:r>
            <w:r w:rsidR="00677C5A">
              <w:rPr>
                <w:lang w:val="el-GR"/>
              </w:rPr>
              <w:t>ς</w:t>
            </w:r>
            <w:r w:rsidRPr="002F2069">
              <w:rPr>
                <w:lang w:val="el-GR"/>
              </w:rPr>
              <w:t xml:space="preserve"> παρακολούθηση</w:t>
            </w:r>
            <w:r w:rsidR="00677C5A">
              <w:rPr>
                <w:lang w:val="el-GR"/>
              </w:rPr>
              <w:t>ς</w:t>
            </w:r>
            <w:r w:rsidRPr="002F2069">
              <w:rPr>
                <w:lang w:val="el-GR"/>
              </w:rPr>
              <w:t xml:space="preserve"> όλων των χώρων κράτησης. Όπως </w:t>
            </w:r>
            <w:r w:rsidR="00677C5A">
              <w:rPr>
                <w:lang w:val="el-GR"/>
              </w:rPr>
              <w:t xml:space="preserve">ο </w:t>
            </w:r>
            <w:r w:rsidRPr="002F2069">
              <w:rPr>
                <w:lang w:val="el-GR"/>
              </w:rPr>
              <w:t xml:space="preserve">Ειδικού Εισηγητή </w:t>
            </w:r>
            <w:r w:rsidR="00677C5A">
              <w:rPr>
                <w:lang w:val="el-GR"/>
              </w:rPr>
              <w:t xml:space="preserve">των Ηνωμένων Εθνών </w:t>
            </w:r>
            <w:r w:rsidRPr="002F2069">
              <w:rPr>
                <w:lang w:val="el-GR"/>
              </w:rPr>
              <w:t xml:space="preserve">για τα βασανιστήρια δήλωσε το 2002: </w:t>
            </w:r>
            <w:r w:rsidRPr="00EA54E8">
              <w:rPr>
                <w:i/>
                <w:lang w:val="el-GR"/>
              </w:rPr>
              <w:t>«</w:t>
            </w:r>
            <w:r w:rsidR="00EA54E8" w:rsidRPr="00EA54E8">
              <w:rPr>
                <w:i/>
                <w:lang w:val="el-GR"/>
              </w:rPr>
              <w:t xml:space="preserve">η </w:t>
            </w:r>
            <w:r w:rsidRPr="00EA54E8">
              <w:rPr>
                <w:i/>
                <w:lang w:val="el-GR"/>
              </w:rPr>
              <w:t>τακτική επιθεώρηση των χώρων κράτησης, ειδικά όταν πραγματοποι</w:t>
            </w:r>
            <w:r w:rsidR="00EA54E8" w:rsidRPr="00EA54E8">
              <w:rPr>
                <w:i/>
                <w:lang w:val="el-GR"/>
              </w:rPr>
              <w:t>είται στο πλαίσιο συστήματος περιοδικών επισκέψεων, αποτε</w:t>
            </w:r>
            <w:r w:rsidRPr="00EA54E8">
              <w:rPr>
                <w:i/>
                <w:lang w:val="el-GR"/>
              </w:rPr>
              <w:t>λεί ένα από τα πιο αποτελεσματικά προληπτικά μέτρα κατά των βασανιστηρίων».</w:t>
            </w:r>
            <w:r w:rsidR="00EA54E8" w:rsidRPr="00677C5A">
              <w:rPr>
                <w:rStyle w:val="FootnoteReference"/>
                <w:i/>
                <w:lang w:val="el-GR"/>
              </w:rPr>
              <w:t xml:space="preserve"> </w:t>
            </w:r>
            <w:r w:rsidR="00EA54E8" w:rsidRPr="00EA54E8">
              <w:rPr>
                <w:rStyle w:val="FootnoteReference"/>
                <w:i/>
                <w:lang w:val="en-GB"/>
              </w:rPr>
              <w:footnoteReference w:id="1"/>
            </w:r>
          </w:p>
          <w:p w:rsidR="002F2069" w:rsidRDefault="00677C5A" w:rsidP="002F2069">
            <w:pPr>
              <w:pStyle w:val="FormatvorlageTextkrperRechts05cm"/>
              <w:rPr>
                <w:lang w:val="el-GR"/>
              </w:rPr>
            </w:pPr>
            <w:r>
              <w:rPr>
                <w:lang w:val="el-GR"/>
              </w:rPr>
              <w:t>Οι χώροι</w:t>
            </w:r>
            <w:r w:rsidR="002F2069" w:rsidRPr="002F2069">
              <w:rPr>
                <w:lang w:val="el-GR"/>
              </w:rPr>
              <w:t xml:space="preserve"> της στέρησης της ελευθερίας πρέπει να γίν</w:t>
            </w:r>
            <w:r>
              <w:rPr>
                <w:lang w:val="el-GR"/>
              </w:rPr>
              <w:t>ουν</w:t>
            </w:r>
            <w:r w:rsidR="002F2069" w:rsidRPr="002F2069">
              <w:rPr>
                <w:lang w:val="el-GR"/>
              </w:rPr>
              <w:t xml:space="preserve"> αντιληπτ</w:t>
            </w:r>
            <w:r>
              <w:rPr>
                <w:lang w:val="el-GR"/>
              </w:rPr>
              <w:t>οί ως όλα τα μέρη</w:t>
            </w:r>
            <w:r w:rsidR="002F2069" w:rsidRPr="002F2069">
              <w:rPr>
                <w:lang w:val="el-GR"/>
              </w:rPr>
              <w:t xml:space="preserve"> όπου τα</w:t>
            </w:r>
            <w:r>
              <w:rPr>
                <w:lang w:val="el-GR"/>
              </w:rPr>
              <w:t xml:space="preserve"> άτομα δεν επιτρέπεται να αφήσουν</w:t>
            </w:r>
            <w:r w:rsidR="002F2069" w:rsidRPr="002F2069">
              <w:rPr>
                <w:lang w:val="el-GR"/>
              </w:rPr>
              <w:t xml:space="preserve"> κατά βούληση</w:t>
            </w:r>
            <w:r>
              <w:rPr>
                <w:rStyle w:val="FootnoteReference"/>
                <w:lang w:val="en-GB"/>
              </w:rPr>
              <w:footnoteReference w:id="2"/>
            </w:r>
            <w:r w:rsidR="002F2069" w:rsidRPr="002F2069">
              <w:rPr>
                <w:lang w:val="el-GR"/>
              </w:rPr>
              <w:t>, και ως εκ τούτου περιλαμβάν</w:t>
            </w:r>
            <w:r>
              <w:rPr>
                <w:lang w:val="el-GR"/>
              </w:rPr>
              <w:t>ουν</w:t>
            </w:r>
            <w:r w:rsidR="002F2069" w:rsidRPr="002F2069">
              <w:rPr>
                <w:lang w:val="el-GR"/>
              </w:rPr>
              <w:t xml:space="preserve"> και ψυχιατ</w:t>
            </w:r>
            <w:r>
              <w:rPr>
                <w:lang w:val="el-GR"/>
              </w:rPr>
              <w:t xml:space="preserve">ρικές εγκαταστάσεις, στρατώνες, </w:t>
            </w:r>
            <w:r w:rsidR="002F2069" w:rsidRPr="002F2069">
              <w:rPr>
                <w:lang w:val="el-GR"/>
              </w:rPr>
              <w:lastRenderedPageBreak/>
              <w:t>σπίτια για τους ηλικιωμένους, καθώς και εγκαταστάσεις μακροχρόνιας φροντίδας.</w:t>
            </w:r>
          </w:p>
          <w:p w:rsidR="00F87DA4" w:rsidRDefault="00F87DA4" w:rsidP="00F12F22">
            <w:pPr>
              <w:pStyle w:val="FormatvorlageTextkrperRechts05cm"/>
              <w:rPr>
                <w:lang w:val="el-GR"/>
              </w:rPr>
            </w:pPr>
            <w:r w:rsidRPr="00F87DA4">
              <w:rPr>
                <w:lang w:val="el-GR"/>
              </w:rPr>
              <w:t>Δεδομέν</w:t>
            </w:r>
            <w:r w:rsidR="000A3C7A">
              <w:rPr>
                <w:lang w:val="el-GR"/>
              </w:rPr>
              <w:t>ης της λεπτομερούς</w:t>
            </w:r>
            <w:r w:rsidRPr="00F87DA4">
              <w:rPr>
                <w:lang w:val="el-GR"/>
              </w:rPr>
              <w:t xml:space="preserve"> γνώση</w:t>
            </w:r>
            <w:r w:rsidR="000A3C7A">
              <w:rPr>
                <w:lang w:val="el-GR"/>
              </w:rPr>
              <w:t>ς</w:t>
            </w:r>
            <w:r w:rsidRPr="00F87DA4">
              <w:rPr>
                <w:lang w:val="el-GR"/>
              </w:rPr>
              <w:t xml:space="preserve"> των διεθνών, περιφερειακών και εθνικών προτύπων και κανόνων, οι δικηγορικοί σύλλογοι και οι δικηγόροι κατέχουν καίριο ρόλο στην άσκηση πιέσεων για τη δημιουργία και τ</w:t>
            </w:r>
            <w:r w:rsidR="000A3C7A">
              <w:rPr>
                <w:lang w:val="el-GR"/>
              </w:rPr>
              <w:t>ον</w:t>
            </w:r>
            <w:r w:rsidRPr="00F87DA4">
              <w:rPr>
                <w:lang w:val="el-GR"/>
              </w:rPr>
              <w:t xml:space="preserve"> τακτικ</w:t>
            </w:r>
            <w:r w:rsidR="000A3C7A">
              <w:rPr>
                <w:lang w:val="el-GR"/>
              </w:rPr>
              <w:t>ό</w:t>
            </w:r>
            <w:r w:rsidRPr="00F87DA4">
              <w:rPr>
                <w:lang w:val="el-GR"/>
              </w:rPr>
              <w:t>, συστηματικ</w:t>
            </w:r>
            <w:r w:rsidR="000A3C7A">
              <w:rPr>
                <w:lang w:val="el-GR"/>
              </w:rPr>
              <w:t>ό</w:t>
            </w:r>
            <w:r w:rsidRPr="00F87DA4">
              <w:rPr>
                <w:lang w:val="el-GR"/>
              </w:rPr>
              <w:t xml:space="preserve"> και ανεξάρτητ</w:t>
            </w:r>
            <w:r w:rsidR="000A3C7A">
              <w:rPr>
                <w:lang w:val="el-GR"/>
              </w:rPr>
              <w:t>ο</w:t>
            </w:r>
            <w:r w:rsidRPr="00F87DA4">
              <w:rPr>
                <w:lang w:val="el-GR"/>
              </w:rPr>
              <w:t xml:space="preserve"> προληπτικό έλεγχο των χώρων κράτησης. Η στενή συνεργασία μεταξύ των δικηγόρων και εμπειρογν</w:t>
            </w:r>
            <w:r w:rsidR="000A3C7A">
              <w:rPr>
                <w:lang w:val="el-GR"/>
              </w:rPr>
              <w:t>ωμόνων</w:t>
            </w:r>
            <w:r w:rsidRPr="00F87DA4">
              <w:rPr>
                <w:lang w:val="el-GR"/>
              </w:rPr>
              <w:t xml:space="preserve"> από άλλους τομείς, όπως </w:t>
            </w:r>
            <w:r w:rsidR="000A3C7A">
              <w:rPr>
                <w:lang w:val="el-GR"/>
              </w:rPr>
              <w:t xml:space="preserve">γιατρών και ιατροδικαστές, ειδικών </w:t>
            </w:r>
            <w:r w:rsidRPr="00F87DA4">
              <w:rPr>
                <w:lang w:val="el-GR"/>
              </w:rPr>
              <w:t>στα ανθρώπινα δικαιώματα ή κοινωνικ</w:t>
            </w:r>
            <w:r w:rsidR="000A3C7A">
              <w:rPr>
                <w:lang w:val="el-GR"/>
              </w:rPr>
              <w:t xml:space="preserve">ών </w:t>
            </w:r>
            <w:r w:rsidRPr="00F87DA4">
              <w:rPr>
                <w:lang w:val="el-GR"/>
              </w:rPr>
              <w:t>λειτουργ</w:t>
            </w:r>
            <w:r w:rsidR="000A3C7A">
              <w:rPr>
                <w:lang w:val="el-GR"/>
              </w:rPr>
              <w:t>ών</w:t>
            </w:r>
            <w:r w:rsidRPr="00F87DA4">
              <w:rPr>
                <w:lang w:val="el-GR"/>
              </w:rPr>
              <w:t>, είναι απαραίτητη για μια ευρεία και καλή λειτουργία του σώματος παρακολούθησης. Ένα</w:t>
            </w:r>
            <w:r w:rsidR="000A3C7A">
              <w:rPr>
                <w:lang w:val="el-GR"/>
              </w:rPr>
              <w:t xml:space="preserve">ς προληπτικός </w:t>
            </w:r>
            <w:r w:rsidRPr="00F87DA4">
              <w:rPr>
                <w:lang w:val="el-GR"/>
              </w:rPr>
              <w:t>μηχανισμό</w:t>
            </w:r>
            <w:r w:rsidR="000A3C7A">
              <w:rPr>
                <w:lang w:val="el-GR"/>
              </w:rPr>
              <w:t>ς</w:t>
            </w:r>
            <w:r w:rsidRPr="00F87DA4">
              <w:rPr>
                <w:lang w:val="el-GR"/>
              </w:rPr>
              <w:t xml:space="preserve"> που αποτελείται από μια αντιπροσωπεία με πολύχρονη επαγγελματική εμπειρία είναι σε καλύτερη θέση να φέρει γνώσεις από διαφορετικές </w:t>
            </w:r>
            <w:r w:rsidR="000A3C7A">
              <w:rPr>
                <w:lang w:val="el-GR"/>
              </w:rPr>
              <w:t>οπτικές γωνίες και να εντοπίσει</w:t>
            </w:r>
            <w:r w:rsidRPr="00F87DA4">
              <w:rPr>
                <w:lang w:val="el-GR"/>
              </w:rPr>
              <w:t xml:space="preserve"> συστημικές και άλλες υφιστάμενες εκδόσεις με ολιστικό τρόπο.</w:t>
            </w:r>
          </w:p>
          <w:p w:rsidR="00A06572" w:rsidRDefault="00A06572" w:rsidP="00F12F22">
            <w:pPr>
              <w:pStyle w:val="FormatvorlageTextkrperRechts05cm"/>
              <w:rPr>
                <w:lang w:val="el-GR"/>
              </w:rPr>
            </w:pPr>
            <w:r w:rsidRPr="00A06572">
              <w:rPr>
                <w:lang w:val="el-GR"/>
              </w:rPr>
              <w:t xml:space="preserve">Ο ρόλος των δικηγόρων σε σχέση με την προληπτική παρακολούθηση περιλαμβάνει, ως μια πολύ βασική προϋπόθεση για ένα αποτελεσματικό σύστημα, </w:t>
            </w:r>
            <w:r>
              <w:rPr>
                <w:lang w:val="el-GR"/>
              </w:rPr>
              <w:t>τ</w:t>
            </w:r>
            <w:r w:rsidRPr="00A06572">
              <w:rPr>
                <w:lang w:val="el-GR"/>
              </w:rPr>
              <w:t>η</w:t>
            </w:r>
            <w:r>
              <w:rPr>
                <w:lang w:val="el-GR"/>
              </w:rPr>
              <w:t>ν</w:t>
            </w:r>
            <w:r w:rsidRPr="00A06572">
              <w:rPr>
                <w:lang w:val="el-GR"/>
              </w:rPr>
              <w:t xml:space="preserve"> βοήθεια </w:t>
            </w:r>
            <w:r>
              <w:rPr>
                <w:lang w:val="el-GR"/>
              </w:rPr>
              <w:t>για την υλοποίηση του OPCAT αφότου</w:t>
            </w:r>
            <w:r w:rsidRPr="00A06572">
              <w:rPr>
                <w:lang w:val="el-GR"/>
              </w:rPr>
              <w:t xml:space="preserve"> το κράτος </w:t>
            </w:r>
            <w:r>
              <w:rPr>
                <w:lang w:val="el-GR"/>
              </w:rPr>
              <w:t xml:space="preserve">το </w:t>
            </w:r>
            <w:r w:rsidRPr="00A06572">
              <w:rPr>
                <w:lang w:val="el-GR"/>
              </w:rPr>
              <w:t xml:space="preserve">κυρώσει, καθώς και τη δημιουργία ενός Εθνικού </w:t>
            </w:r>
            <w:r>
              <w:rPr>
                <w:lang w:val="el-GR"/>
              </w:rPr>
              <w:t>Προληπτικού</w:t>
            </w:r>
            <w:r w:rsidRPr="00A06572">
              <w:rPr>
                <w:lang w:val="el-GR"/>
              </w:rPr>
              <w:t xml:space="preserve"> Μηχανισμού (NPM) , όπως ζητήθηκε από το πρωτόκολλο. Παρά την ύπαρξη NPM στη χώρα ή ακό</w:t>
            </w:r>
            <w:r>
              <w:rPr>
                <w:lang w:val="el-GR"/>
              </w:rPr>
              <w:t xml:space="preserve">μη και την επικύρωση του OPCAT </w:t>
            </w:r>
            <w:r w:rsidRPr="00A06572">
              <w:rPr>
                <w:lang w:val="el-GR"/>
              </w:rPr>
              <w:t>, οι δικηγόροι μπορούν να λάβουν μέρος σε φορ</w:t>
            </w:r>
            <w:r>
              <w:rPr>
                <w:lang w:val="el-GR"/>
              </w:rPr>
              <w:t>είς παρακολούθησης, επισκέπτοντας</w:t>
            </w:r>
            <w:r w:rsidRPr="00A06572">
              <w:rPr>
                <w:lang w:val="el-GR"/>
              </w:rPr>
              <w:t xml:space="preserve"> χώρους κράτησης, π.χ. </w:t>
            </w:r>
            <w:r>
              <w:rPr>
                <w:lang w:val="el-GR"/>
              </w:rPr>
              <w:t xml:space="preserve">μονάδα </w:t>
            </w:r>
            <w:r w:rsidRPr="00A06572">
              <w:rPr>
                <w:lang w:val="el-GR"/>
              </w:rPr>
              <w:t xml:space="preserve">παρακολούθησης </w:t>
            </w:r>
            <w:r>
              <w:rPr>
                <w:lang w:val="el-GR"/>
              </w:rPr>
              <w:t>από δικηγορικούς συλλόγους ή δημόσιους υπερασπιστές</w:t>
            </w:r>
            <w:r w:rsidRPr="00A06572">
              <w:rPr>
                <w:lang w:val="el-GR"/>
              </w:rPr>
              <w:t xml:space="preserve">, διοργανικές </w:t>
            </w:r>
            <w:r>
              <w:rPr>
                <w:lang w:val="el-GR"/>
              </w:rPr>
              <w:t>επιτροπές</w:t>
            </w:r>
            <w:r w:rsidRPr="00A06572">
              <w:rPr>
                <w:lang w:val="el-GR"/>
              </w:rPr>
              <w:t xml:space="preserve">, κ.λπ. </w:t>
            </w:r>
            <w:r>
              <w:rPr>
                <w:lang w:val="el-GR"/>
              </w:rPr>
              <w:t>Οι δ</w:t>
            </w:r>
            <w:r w:rsidRPr="00A06572">
              <w:rPr>
                <w:lang w:val="el-GR"/>
              </w:rPr>
              <w:t xml:space="preserve">ικηγόροι, μέσα από τη γνώση τους </w:t>
            </w:r>
            <w:r>
              <w:rPr>
                <w:lang w:val="el-GR"/>
              </w:rPr>
              <w:t xml:space="preserve">για τα διεθνή πρότυπα </w:t>
            </w:r>
            <w:r w:rsidRPr="00A06572">
              <w:rPr>
                <w:lang w:val="el-GR"/>
              </w:rPr>
              <w:t xml:space="preserve">όσον αφορά την πρόληψη των βασανιστηρίων και της κακής μεταχείρισης, μπορούν να παρέχουν </w:t>
            </w:r>
            <w:r w:rsidR="0009510C">
              <w:rPr>
                <w:lang w:val="el-GR"/>
              </w:rPr>
              <w:t xml:space="preserve">στους </w:t>
            </w:r>
            <w:r w:rsidRPr="00A06572">
              <w:rPr>
                <w:lang w:val="el-GR"/>
              </w:rPr>
              <w:t xml:space="preserve">νομοθέτες και </w:t>
            </w:r>
            <w:r w:rsidR="0009510C">
              <w:rPr>
                <w:lang w:val="el-GR"/>
              </w:rPr>
              <w:t>στις</w:t>
            </w:r>
            <w:r w:rsidRPr="00A06572">
              <w:rPr>
                <w:lang w:val="el-GR"/>
              </w:rPr>
              <w:t xml:space="preserve"> αρχές</w:t>
            </w:r>
            <w:r w:rsidR="0009510C">
              <w:rPr>
                <w:lang w:val="el-GR"/>
              </w:rPr>
              <w:t xml:space="preserve">, </w:t>
            </w:r>
            <w:r w:rsidRPr="00A06572">
              <w:rPr>
                <w:lang w:val="el-GR"/>
              </w:rPr>
              <w:t xml:space="preserve"> με τις</w:t>
            </w:r>
            <w:r w:rsidR="0009510C">
              <w:rPr>
                <w:lang w:val="el-GR"/>
              </w:rPr>
              <w:t xml:space="preserve"> επισκέψεις παρακολούθησης, </w:t>
            </w:r>
            <w:r w:rsidRPr="00A06572">
              <w:rPr>
                <w:lang w:val="el-GR"/>
              </w:rPr>
              <w:t xml:space="preserve">εκθέσεις που περιέχουν ακριβείς αναφορές </w:t>
            </w:r>
            <w:r w:rsidR="0009510C">
              <w:rPr>
                <w:lang w:val="el-GR"/>
              </w:rPr>
              <w:t>σ</w:t>
            </w:r>
            <w:r w:rsidRPr="00A06572">
              <w:rPr>
                <w:lang w:val="el-GR"/>
              </w:rPr>
              <w:t xml:space="preserve">τις διεθνείς προδιαγραφές και προτάσεις για το πώς να βελτιώσουν </w:t>
            </w:r>
            <w:r w:rsidR="0009510C">
              <w:rPr>
                <w:lang w:val="el-GR"/>
              </w:rPr>
              <w:t>το εγχώριο πλαίσιο. Η τ</w:t>
            </w:r>
            <w:r w:rsidRPr="00A06572">
              <w:rPr>
                <w:lang w:val="el-GR"/>
              </w:rPr>
              <w:t xml:space="preserve">εχνογνωσία τους, τους </w:t>
            </w:r>
            <w:r w:rsidR="0009510C">
              <w:rPr>
                <w:lang w:val="el-GR"/>
              </w:rPr>
              <w:t xml:space="preserve">επιτρέπει, επίσης, να επισημάνουν </w:t>
            </w:r>
            <w:r w:rsidRPr="00A06572">
              <w:rPr>
                <w:lang w:val="el-GR"/>
              </w:rPr>
              <w:t xml:space="preserve">την παραβίαση της νομοθεσίας από τους υπαλλήλους </w:t>
            </w:r>
            <w:r w:rsidR="0009510C">
              <w:rPr>
                <w:lang w:val="el-GR"/>
              </w:rPr>
              <w:t>κατά την πράξη. Οι δ</w:t>
            </w:r>
            <w:r w:rsidRPr="00A06572">
              <w:rPr>
                <w:lang w:val="el-GR"/>
              </w:rPr>
              <w:t>ικηγόροι μπορεί να εκθέ</w:t>
            </w:r>
            <w:r w:rsidR="0009510C">
              <w:rPr>
                <w:lang w:val="el-GR"/>
              </w:rPr>
              <w:t xml:space="preserve">σουν, </w:t>
            </w:r>
            <w:r w:rsidRPr="00A06572">
              <w:rPr>
                <w:lang w:val="el-GR"/>
              </w:rPr>
              <w:t>στη συνέχεια</w:t>
            </w:r>
            <w:r w:rsidR="0009510C">
              <w:rPr>
                <w:lang w:val="el-GR"/>
              </w:rPr>
              <w:t>,</w:t>
            </w:r>
            <w:r w:rsidRPr="00A06572">
              <w:rPr>
                <w:lang w:val="el-GR"/>
              </w:rPr>
              <w:t xml:space="preserve"> </w:t>
            </w:r>
            <w:r w:rsidR="0009510C">
              <w:rPr>
                <w:lang w:val="el-GR"/>
              </w:rPr>
              <w:t xml:space="preserve">μοτίβα </w:t>
            </w:r>
            <w:r w:rsidRPr="00A06572">
              <w:rPr>
                <w:lang w:val="el-GR"/>
              </w:rPr>
              <w:t>θεσμικ</w:t>
            </w:r>
            <w:r w:rsidR="0009510C">
              <w:rPr>
                <w:lang w:val="el-GR"/>
              </w:rPr>
              <w:t xml:space="preserve">ών </w:t>
            </w:r>
            <w:r w:rsidRPr="00A06572">
              <w:rPr>
                <w:lang w:val="el-GR"/>
              </w:rPr>
              <w:t>αδυναμ</w:t>
            </w:r>
            <w:r w:rsidR="0009510C">
              <w:rPr>
                <w:lang w:val="el-GR"/>
              </w:rPr>
              <w:t>ιών</w:t>
            </w:r>
            <w:r w:rsidRPr="00A06572">
              <w:rPr>
                <w:lang w:val="el-GR"/>
              </w:rPr>
              <w:t xml:space="preserve"> σε </w:t>
            </w:r>
            <w:r w:rsidR="0009510C">
              <w:rPr>
                <w:lang w:val="el-GR"/>
              </w:rPr>
              <w:t>συγκεκριμένες</w:t>
            </w:r>
            <w:r w:rsidRPr="00A06572">
              <w:rPr>
                <w:lang w:val="el-GR"/>
              </w:rPr>
              <w:t xml:space="preserve"> εγκαταστάσεις κράτησης.</w:t>
            </w:r>
          </w:p>
          <w:p w:rsidR="0009510C" w:rsidRPr="0009510C" w:rsidRDefault="0009510C" w:rsidP="0009510C">
            <w:pPr>
              <w:pStyle w:val="FormatvorlageTextkrperRechts05cm"/>
              <w:rPr>
                <w:lang w:val="el-GR"/>
              </w:rPr>
            </w:pPr>
            <w:r w:rsidRPr="0009510C">
              <w:rPr>
                <w:lang w:val="el-GR"/>
              </w:rPr>
              <w:t>Η αποτελεσματικότητα των επισκέψεων παρακολούθησης μπορεί να αυξηθεί με την καθιέρωση τυποποιημένων καταλόγων ελέγχου, ιδιαίτερα προσαρμο</w:t>
            </w:r>
            <w:r>
              <w:rPr>
                <w:lang w:val="el-GR"/>
              </w:rPr>
              <w:t>σμένων</w:t>
            </w:r>
            <w:r w:rsidRPr="0009510C">
              <w:rPr>
                <w:lang w:val="el-GR"/>
              </w:rPr>
              <w:t xml:space="preserve"> στην εμπειρία των δικηγόρων όσον αφορά τα εθνικά και διεθνή πρότυπα και προδιαγραφές. Ωστόσο, η συνέντευξη των θυμάτων βασανιστηρίων δεν θα πρέπει απλώς </w:t>
            </w:r>
            <w:r>
              <w:rPr>
                <w:lang w:val="el-GR"/>
              </w:rPr>
              <w:t>να ακολουθεί</w:t>
            </w:r>
            <w:r w:rsidRPr="0009510C">
              <w:rPr>
                <w:lang w:val="el-GR"/>
              </w:rPr>
              <w:t xml:space="preserve"> μια κανονική λίστα ελέγχο</w:t>
            </w:r>
            <w:r>
              <w:rPr>
                <w:lang w:val="el-GR"/>
              </w:rPr>
              <w:t>υ, αλλά θα πρέπει να διεξάγεται</w:t>
            </w:r>
            <w:r w:rsidRPr="0009510C">
              <w:rPr>
                <w:lang w:val="el-GR"/>
              </w:rPr>
              <w:t xml:space="preserve"> με μεγάλη ευαισθησία και κατανόηση, λαμβάνοντας υπόψη το τραύμα του ερωτώμενου και τις δυσκολίες </w:t>
            </w:r>
            <w:r>
              <w:rPr>
                <w:lang w:val="el-GR"/>
              </w:rPr>
              <w:t>σ</w:t>
            </w:r>
            <w:r w:rsidRPr="0009510C">
              <w:rPr>
                <w:lang w:val="el-GR"/>
              </w:rPr>
              <w:t>την αποκατάσταση</w:t>
            </w:r>
            <w:r>
              <w:rPr>
                <w:lang w:val="el-GR"/>
              </w:rPr>
              <w:t xml:space="preserve"> από την κακοποίηση</w:t>
            </w:r>
            <w:r w:rsidRPr="0009510C">
              <w:rPr>
                <w:lang w:val="el-GR"/>
              </w:rPr>
              <w:t xml:space="preserve"> .</w:t>
            </w:r>
          </w:p>
          <w:p w:rsidR="0009510C" w:rsidRDefault="0009510C" w:rsidP="0009510C">
            <w:pPr>
              <w:pStyle w:val="FormatvorlageTextkrperRechts05cm"/>
              <w:rPr>
                <w:lang w:val="el-GR"/>
              </w:rPr>
            </w:pPr>
            <w:r w:rsidRPr="0009510C">
              <w:rPr>
                <w:lang w:val="el-GR"/>
              </w:rPr>
              <w:t>Επιπλέον, οι δικηγόροι είναι ένα</w:t>
            </w:r>
            <w:r>
              <w:rPr>
                <w:lang w:val="el-GR"/>
              </w:rPr>
              <w:t>ς</w:t>
            </w:r>
            <w:r w:rsidRPr="0009510C">
              <w:rPr>
                <w:lang w:val="el-GR"/>
              </w:rPr>
              <w:t xml:space="preserve"> θεμελιώδ</w:t>
            </w:r>
            <w:r>
              <w:rPr>
                <w:lang w:val="el-GR"/>
              </w:rPr>
              <w:t>η</w:t>
            </w:r>
            <w:r w:rsidRPr="0009510C">
              <w:rPr>
                <w:lang w:val="el-GR"/>
              </w:rPr>
              <w:t xml:space="preserve">ς </w:t>
            </w:r>
            <w:r>
              <w:rPr>
                <w:lang w:val="el-GR"/>
              </w:rPr>
              <w:t>σύνδεσμος με το κοινό και τους</w:t>
            </w:r>
            <w:r w:rsidRPr="0009510C">
              <w:rPr>
                <w:lang w:val="el-GR"/>
              </w:rPr>
              <w:t xml:space="preserve"> σχετικ</w:t>
            </w:r>
            <w:r>
              <w:rPr>
                <w:lang w:val="el-GR"/>
              </w:rPr>
              <w:t>ούς διεθνείς μηχανισμούς</w:t>
            </w:r>
            <w:r w:rsidRPr="0009510C">
              <w:rPr>
                <w:lang w:val="el-GR"/>
              </w:rPr>
              <w:t xml:space="preserve"> πρόληψης όταν οι αρχές αδυνατούν να ενεργήσ</w:t>
            </w:r>
            <w:r>
              <w:rPr>
                <w:lang w:val="el-GR"/>
              </w:rPr>
              <w:t>ουν</w:t>
            </w:r>
            <w:r w:rsidRPr="0009510C">
              <w:rPr>
                <w:lang w:val="el-GR"/>
              </w:rPr>
              <w:t xml:space="preserve"> σ</w:t>
            </w:r>
            <w:r>
              <w:rPr>
                <w:lang w:val="el-GR"/>
              </w:rPr>
              <w:t>ε περίπτωση καταγγελιών</w:t>
            </w:r>
            <w:r w:rsidRPr="0009510C">
              <w:rPr>
                <w:lang w:val="el-GR"/>
              </w:rPr>
              <w:t xml:space="preserve"> για βασανιστήρια ή να </w:t>
            </w:r>
            <w:r w:rsidRPr="0009510C">
              <w:rPr>
                <w:lang w:val="el-GR"/>
              </w:rPr>
              <w:lastRenderedPageBreak/>
              <w:t>παρεμπ</w:t>
            </w:r>
            <w:r>
              <w:rPr>
                <w:lang w:val="el-GR"/>
              </w:rPr>
              <w:t xml:space="preserve">όδισης </w:t>
            </w:r>
            <w:r w:rsidRPr="0009510C">
              <w:rPr>
                <w:lang w:val="el-GR"/>
              </w:rPr>
              <w:t>μια</w:t>
            </w:r>
            <w:r>
              <w:rPr>
                <w:lang w:val="el-GR"/>
              </w:rPr>
              <w:t>ς</w:t>
            </w:r>
            <w:r w:rsidRPr="0009510C">
              <w:rPr>
                <w:lang w:val="el-GR"/>
              </w:rPr>
              <w:t xml:space="preserve"> έρευνα</w:t>
            </w:r>
            <w:r>
              <w:rPr>
                <w:lang w:val="el-GR"/>
              </w:rPr>
              <w:t>ς</w:t>
            </w:r>
            <w:r w:rsidRPr="0009510C">
              <w:rPr>
                <w:lang w:val="el-GR"/>
              </w:rPr>
              <w:t>.</w:t>
            </w:r>
          </w:p>
          <w:p w:rsidR="0009510C" w:rsidRDefault="0009510C" w:rsidP="0009510C">
            <w:pPr>
              <w:pStyle w:val="FormatvorlageTextkrperRechts05cm"/>
              <w:rPr>
                <w:lang w:val="el-GR"/>
              </w:rPr>
            </w:pPr>
            <w:r w:rsidRPr="0009510C">
              <w:rPr>
                <w:lang w:val="el-GR"/>
              </w:rPr>
              <w:t>Για να καλ</w:t>
            </w:r>
            <w:r>
              <w:rPr>
                <w:lang w:val="el-GR"/>
              </w:rPr>
              <w:t>υφθούν</w:t>
            </w:r>
            <w:r w:rsidRPr="0009510C">
              <w:rPr>
                <w:lang w:val="el-GR"/>
              </w:rPr>
              <w:t xml:space="preserve"> όλες τις πτυχές των βασανιστηρίων και της κακ</w:t>
            </w:r>
            <w:r>
              <w:rPr>
                <w:lang w:val="el-GR"/>
              </w:rPr>
              <w:t xml:space="preserve">ής </w:t>
            </w:r>
            <w:r w:rsidRPr="0009510C">
              <w:rPr>
                <w:lang w:val="el-GR"/>
              </w:rPr>
              <w:t xml:space="preserve">μεταχείρισης, και να αποκαλύψει τα </w:t>
            </w:r>
            <w:r>
              <w:rPr>
                <w:lang w:val="el-GR"/>
              </w:rPr>
              <w:t>συστημικά ζητήματα που επιτρέπουν μια τέτοια κακοποίηση</w:t>
            </w:r>
            <w:r w:rsidRPr="0009510C">
              <w:rPr>
                <w:lang w:val="el-GR"/>
              </w:rPr>
              <w:t>,</w:t>
            </w:r>
            <w:r>
              <w:rPr>
                <w:lang w:val="el-GR"/>
              </w:rPr>
              <w:t xml:space="preserve"> οι</w:t>
            </w:r>
            <w:r w:rsidRPr="0009510C">
              <w:rPr>
                <w:lang w:val="el-GR"/>
              </w:rPr>
              <w:t xml:space="preserve"> επαγγελματίες νομικοί θα πρέπει να εργαστούν </w:t>
            </w:r>
            <w:r>
              <w:rPr>
                <w:lang w:val="el-GR"/>
              </w:rPr>
              <w:t>μ</w:t>
            </w:r>
            <w:r w:rsidRPr="0009510C">
              <w:rPr>
                <w:lang w:val="el-GR"/>
              </w:rPr>
              <w:t xml:space="preserve">ε ένα διεπιστημονικό τρόπο, με άλλους επαγγελματίες κατά τη διάρκεια επισκέψεων παρακολούθησης </w:t>
            </w:r>
            <w:r>
              <w:rPr>
                <w:lang w:val="el-GR"/>
              </w:rPr>
              <w:t>μ</w:t>
            </w:r>
            <w:r w:rsidRPr="0009510C">
              <w:rPr>
                <w:lang w:val="el-GR"/>
              </w:rPr>
              <w:t>ε μια συμπληρωματική και ολιστική προσέγγιση.</w:t>
            </w:r>
          </w:p>
          <w:p w:rsidR="000F64AE" w:rsidRPr="0009510C" w:rsidRDefault="000F64AE" w:rsidP="00F54D6C">
            <w:pPr>
              <w:pStyle w:val="FormatvorlageTextkrperRechts05cm"/>
              <w:rPr>
                <w:lang w:val="el-GR"/>
              </w:rPr>
            </w:pPr>
          </w:p>
        </w:tc>
        <w:tc>
          <w:tcPr>
            <w:tcW w:w="2552" w:type="dxa"/>
            <w:tcMar>
              <w:left w:w="170" w:type="dxa"/>
            </w:tcMar>
          </w:tcPr>
          <w:p w:rsidR="000F64AE" w:rsidRPr="0009510C" w:rsidRDefault="000F64AE" w:rsidP="00F54D6C">
            <w:pPr>
              <w:pStyle w:val="Didacticremark"/>
              <w:numPr>
                <w:ilvl w:val="0"/>
                <w:numId w:val="0"/>
              </w:numPr>
              <w:rPr>
                <w:lang w:val="el-GR"/>
              </w:rPr>
            </w:pPr>
          </w:p>
          <w:p w:rsidR="000F64AE" w:rsidRPr="0009510C" w:rsidRDefault="000F64AE" w:rsidP="00F54D6C">
            <w:pPr>
              <w:pStyle w:val="Didacticremark"/>
              <w:numPr>
                <w:ilvl w:val="0"/>
                <w:numId w:val="0"/>
              </w:numPr>
              <w:rPr>
                <w:lang w:val="el-GR"/>
              </w:rPr>
            </w:pPr>
          </w:p>
          <w:p w:rsidR="000F64AE" w:rsidRPr="0009510C" w:rsidRDefault="000F64AE" w:rsidP="00A71E44">
            <w:pPr>
              <w:pStyle w:val="Didacticremark"/>
              <w:numPr>
                <w:ilvl w:val="0"/>
                <w:numId w:val="0"/>
              </w:numPr>
              <w:rPr>
                <w:shd w:val="clear" w:color="auto" w:fill="FFFFFF"/>
                <w:lang w:val="el-GR"/>
              </w:rPr>
            </w:pPr>
          </w:p>
        </w:tc>
      </w:tr>
      <w:tr w:rsidR="000F64AE" w:rsidRPr="00C524A5" w:rsidTr="00F54D6C">
        <w:tc>
          <w:tcPr>
            <w:tcW w:w="7337" w:type="dxa"/>
          </w:tcPr>
          <w:p w:rsidR="000F64AE" w:rsidRPr="00FB4875" w:rsidRDefault="00785C46" w:rsidP="00F54D6C">
            <w:pPr>
              <w:pStyle w:val="Heading1"/>
            </w:pPr>
            <w:r w:rsidRPr="00785C46">
              <w:lastRenderedPageBreak/>
              <w:t>Υπεράσπιση και Χάραξη πολιτικής</w:t>
            </w:r>
          </w:p>
        </w:tc>
        <w:tc>
          <w:tcPr>
            <w:tcW w:w="2552" w:type="dxa"/>
            <w:tcMar>
              <w:left w:w="170" w:type="dxa"/>
            </w:tcMar>
          </w:tcPr>
          <w:p w:rsidR="000F64AE" w:rsidRPr="00FB4875" w:rsidRDefault="000F64AE" w:rsidP="00F54D6C">
            <w:pPr>
              <w:pStyle w:val="Heading1"/>
              <w:numPr>
                <w:ilvl w:val="0"/>
                <w:numId w:val="0"/>
              </w:numPr>
              <w:ind w:left="360"/>
            </w:pPr>
          </w:p>
        </w:tc>
      </w:tr>
      <w:tr w:rsidR="000F64AE" w:rsidRPr="00D50BE8" w:rsidTr="00F54D6C">
        <w:tc>
          <w:tcPr>
            <w:tcW w:w="7337" w:type="dxa"/>
          </w:tcPr>
          <w:p w:rsidR="003F6F77" w:rsidRPr="003F6F77" w:rsidRDefault="003F6F77" w:rsidP="003F6F77">
            <w:pPr>
              <w:pStyle w:val="FormatvorlageTextkrperRechts05cm"/>
              <w:rPr>
                <w:lang w:val="el-GR"/>
              </w:rPr>
            </w:pPr>
            <w:r>
              <w:rPr>
                <w:lang w:val="el-GR"/>
              </w:rPr>
              <w:t xml:space="preserve">Ο ρόλος των δικηγόρων στην πίεση </w:t>
            </w:r>
            <w:r w:rsidRPr="003F6F77">
              <w:rPr>
                <w:lang w:val="el-GR"/>
              </w:rPr>
              <w:t xml:space="preserve">για τη δημιουργία ενός αποτελεσματικού και ολοκληρωμένου νομικού πλαισίου για την πρόληψη των βασανιστηρίων δεν μπορεί να υποτιμηθεί. </w:t>
            </w:r>
            <w:r>
              <w:rPr>
                <w:lang w:val="el-GR"/>
              </w:rPr>
              <w:t>Ως</w:t>
            </w:r>
            <w:r w:rsidRPr="003F6F77">
              <w:rPr>
                <w:lang w:val="el-GR"/>
              </w:rPr>
              <w:t xml:space="preserve"> ειδικοί της εθνικής και διεθνούς νομοθεσίας, οι δικηγόροι είναι ζωτικής σημασίας στην εκστρατεία για την επικύρωση και πλήρη εφαρμογή </w:t>
            </w:r>
            <w:r w:rsidR="005D26D2">
              <w:rPr>
                <w:lang w:val="el-GR"/>
              </w:rPr>
              <w:t>της Σύμβασης του ΟΗΕ κατά των Βασανιστηρίων</w:t>
            </w:r>
            <w:r w:rsidRPr="003F6F77">
              <w:rPr>
                <w:lang w:val="el-GR"/>
              </w:rPr>
              <w:t xml:space="preserve"> και </w:t>
            </w:r>
            <w:r w:rsidR="005D26D2">
              <w:rPr>
                <w:lang w:val="el-GR"/>
              </w:rPr>
              <w:t xml:space="preserve">του </w:t>
            </w:r>
            <w:r w:rsidRPr="003F6F77">
              <w:rPr>
                <w:lang w:val="el-GR"/>
              </w:rPr>
              <w:t>Προαιρετικ</w:t>
            </w:r>
            <w:r w:rsidR="005D26D2">
              <w:rPr>
                <w:lang w:val="el-GR"/>
              </w:rPr>
              <w:t>ού Πρωτό</w:t>
            </w:r>
            <w:r w:rsidRPr="003F6F77">
              <w:rPr>
                <w:lang w:val="el-GR"/>
              </w:rPr>
              <w:t>κολλο</w:t>
            </w:r>
            <w:r w:rsidR="005D26D2">
              <w:rPr>
                <w:lang w:val="el-GR"/>
              </w:rPr>
              <w:t>υ</w:t>
            </w:r>
            <w:r w:rsidRPr="003F6F77">
              <w:rPr>
                <w:lang w:val="el-GR"/>
              </w:rPr>
              <w:t xml:space="preserve"> της </w:t>
            </w:r>
            <w:r w:rsidR="005D26D2">
              <w:rPr>
                <w:lang w:val="el-GR"/>
              </w:rPr>
              <w:t>Σ</w:t>
            </w:r>
            <w:r w:rsidRPr="003F6F77">
              <w:rPr>
                <w:lang w:val="el-GR"/>
              </w:rPr>
              <w:t>ύμβασης, καθώς και των περιφερειακών μέσων για τα ανθρώπινα δικαιώματα που απαγορεύ</w:t>
            </w:r>
            <w:r w:rsidR="005D26D2">
              <w:rPr>
                <w:lang w:val="el-GR"/>
              </w:rPr>
              <w:t xml:space="preserve">ουν τα βασανιστήρια και την κακή </w:t>
            </w:r>
            <w:r w:rsidRPr="003F6F77">
              <w:rPr>
                <w:lang w:val="el-GR"/>
              </w:rPr>
              <w:t>μεταχείριση.</w:t>
            </w:r>
          </w:p>
          <w:p w:rsidR="003F6F77" w:rsidRDefault="005D26D2" w:rsidP="003F6F77">
            <w:pPr>
              <w:pStyle w:val="FormatvorlageTextkrperRechts05cm"/>
              <w:rPr>
                <w:lang w:val="el-GR"/>
              </w:rPr>
            </w:pPr>
            <w:r>
              <w:rPr>
                <w:lang w:val="el-GR"/>
              </w:rPr>
              <w:t>Οι δ</w:t>
            </w:r>
            <w:r w:rsidR="003F6F77" w:rsidRPr="003F6F77">
              <w:rPr>
                <w:lang w:val="el-GR"/>
              </w:rPr>
              <w:t>ικηγόροι θα πρέ</w:t>
            </w:r>
            <w:r>
              <w:rPr>
                <w:lang w:val="el-GR"/>
              </w:rPr>
              <w:t>πει να είναι σε θέση να εντοπίσουν</w:t>
            </w:r>
            <w:r w:rsidR="003F6F77" w:rsidRPr="003F6F77">
              <w:rPr>
                <w:lang w:val="el-GR"/>
              </w:rPr>
              <w:t xml:space="preserve"> τα κενά στην εθνική νομοθεσία και να διασφαλίσουν την ποινικοποίηση των πράξεων των βασανιστηρίων, συμπεριλαμβανομένης της συνενοχής ή συμμετοχής</w:t>
            </w:r>
            <w:r>
              <w:rPr>
                <w:lang w:val="el-GR"/>
              </w:rPr>
              <w:t>. Θα πρέπει επίσης να επεξεργάζονται</w:t>
            </w:r>
            <w:r w:rsidR="003F6F77" w:rsidRPr="003F6F77">
              <w:rPr>
                <w:lang w:val="el-GR"/>
              </w:rPr>
              <w:t xml:space="preserve"> σχέδια </w:t>
            </w:r>
            <w:r w:rsidRPr="003F6F77">
              <w:rPr>
                <w:lang w:val="el-GR"/>
              </w:rPr>
              <w:t xml:space="preserve">κατά των βασανιστηρίων και της κακής μεταχείρισης </w:t>
            </w:r>
            <w:r w:rsidR="003F6F77" w:rsidRPr="003F6F77">
              <w:rPr>
                <w:lang w:val="el-GR"/>
              </w:rPr>
              <w:t>για τη νομοθεσία, όταν ενδείκνυται, καθώς και να προτείν</w:t>
            </w:r>
            <w:r>
              <w:rPr>
                <w:lang w:val="el-GR"/>
              </w:rPr>
              <w:t>ουν</w:t>
            </w:r>
            <w:r w:rsidR="003F6F77" w:rsidRPr="003F6F77">
              <w:rPr>
                <w:lang w:val="el-GR"/>
              </w:rPr>
              <w:t xml:space="preserve"> και ειδικές διατάξεις για τη βελτίωση της αποτελεσματικότητας της έρευνας και τη δίωξ</w:t>
            </w:r>
            <w:r>
              <w:rPr>
                <w:lang w:val="el-GR"/>
              </w:rPr>
              <w:t xml:space="preserve">η των βασανιστηρίων και της κακής </w:t>
            </w:r>
            <w:r w:rsidR="003F6F77" w:rsidRPr="003F6F77">
              <w:rPr>
                <w:lang w:val="el-GR"/>
              </w:rPr>
              <w:t xml:space="preserve">μεταχείρισης. Οι δικηγόροι μπορούν να συμβάλουν σε μια </w:t>
            </w:r>
            <w:r>
              <w:rPr>
                <w:lang w:val="el-GR"/>
              </w:rPr>
              <w:t>σωστά θεμελιωμένη</w:t>
            </w:r>
            <w:r w:rsidR="003F6F77" w:rsidRPr="003F6F77">
              <w:rPr>
                <w:lang w:val="el-GR"/>
              </w:rPr>
              <w:t xml:space="preserve"> νομοθεσία σχολιάζοντας τις μεταρρυθμίσεις στους τομείς των ανθρωπίνων δικαιωμάτων, </w:t>
            </w:r>
            <w:r>
              <w:rPr>
                <w:lang w:val="el-GR"/>
              </w:rPr>
              <w:t>τ</w:t>
            </w:r>
            <w:r w:rsidR="003F6F77" w:rsidRPr="003F6F77">
              <w:rPr>
                <w:lang w:val="el-GR"/>
              </w:rPr>
              <w:t>η</w:t>
            </w:r>
            <w:r>
              <w:rPr>
                <w:lang w:val="el-GR"/>
              </w:rPr>
              <w:t>ν</w:t>
            </w:r>
            <w:r w:rsidR="003F6F77" w:rsidRPr="003F6F77">
              <w:rPr>
                <w:lang w:val="el-GR"/>
              </w:rPr>
              <w:t xml:space="preserve"> πρόσβαση στην </w:t>
            </w:r>
            <w:r>
              <w:rPr>
                <w:lang w:val="el-GR"/>
              </w:rPr>
              <w:t>δικαιοσύνη</w:t>
            </w:r>
            <w:r w:rsidR="003F6F77" w:rsidRPr="003F6F77">
              <w:rPr>
                <w:lang w:val="el-GR"/>
              </w:rPr>
              <w:t xml:space="preserve"> και </w:t>
            </w:r>
            <w:r>
              <w:rPr>
                <w:lang w:val="el-GR"/>
              </w:rPr>
              <w:t xml:space="preserve"> την πρόληψη </w:t>
            </w:r>
            <w:r w:rsidR="003F6F77" w:rsidRPr="003F6F77">
              <w:rPr>
                <w:lang w:val="el-GR"/>
              </w:rPr>
              <w:t>των βασανιστηρίων.</w:t>
            </w:r>
          </w:p>
          <w:p w:rsidR="00D42F29" w:rsidRDefault="00D42F29" w:rsidP="003F6F77">
            <w:pPr>
              <w:pStyle w:val="FormatvorlageTextkrperRechts05cm"/>
              <w:rPr>
                <w:lang w:val="el-GR"/>
              </w:rPr>
            </w:pPr>
            <w:r>
              <w:rPr>
                <w:lang w:val="el-GR"/>
              </w:rPr>
              <w:t>Προτείνοντας στην κυβέρνηση</w:t>
            </w:r>
            <w:r w:rsidRPr="00D42F29">
              <w:rPr>
                <w:lang w:val="el-GR"/>
              </w:rPr>
              <w:t xml:space="preserve"> βελτίωση των δικονομικών εγγυήσεων, όπως αποτελεσμα</w:t>
            </w:r>
            <w:r>
              <w:rPr>
                <w:lang w:val="el-GR"/>
              </w:rPr>
              <w:t xml:space="preserve">τική διαδικασία καταγγελιών, μεταρρυθμίσεις </w:t>
            </w:r>
            <w:r w:rsidRPr="00D42F29">
              <w:rPr>
                <w:lang w:val="el-GR"/>
              </w:rPr>
              <w:t xml:space="preserve"> </w:t>
            </w:r>
            <w:r>
              <w:rPr>
                <w:lang w:val="el-GR"/>
              </w:rPr>
              <w:t>σ</w:t>
            </w:r>
            <w:r w:rsidRPr="00D42F29">
              <w:rPr>
                <w:lang w:val="el-GR"/>
              </w:rPr>
              <w:t>τις εθνικές νομικές δομές παροχ</w:t>
            </w:r>
            <w:r>
              <w:rPr>
                <w:lang w:val="el-GR"/>
              </w:rPr>
              <w:t>ής βοήθειας και ευαισθητοποίηση</w:t>
            </w:r>
            <w:r w:rsidRPr="00D42F29">
              <w:rPr>
                <w:lang w:val="el-GR"/>
              </w:rPr>
              <w:t xml:space="preserve"> για το πρόβλημ</w:t>
            </w:r>
            <w:r>
              <w:rPr>
                <w:lang w:val="el-GR"/>
              </w:rPr>
              <w:t xml:space="preserve">α των βασανιστηρίων και της κακής </w:t>
            </w:r>
            <w:r w:rsidRPr="00D42F29">
              <w:rPr>
                <w:lang w:val="el-GR"/>
              </w:rPr>
              <w:t xml:space="preserve">μεταχείρισης σε χώρους στέρησης της ελευθερίας μπορεί να έχει σημαντικές επιπτώσεις στην θετική εξέλιξη των ανθρωπίνων δικαιωμάτων της χώρας και συγκεκριμένα τη μείωση των περιστατικών βασανιστηρίων, καθώς και να βελτιώσει την αντίληψη της κοινωνίας </w:t>
            </w:r>
            <w:r>
              <w:rPr>
                <w:lang w:val="el-GR"/>
              </w:rPr>
              <w:t>για τα όργανα επιβολής του νόμου.</w:t>
            </w:r>
          </w:p>
          <w:p w:rsidR="00D42F29" w:rsidRDefault="00D42F29" w:rsidP="003F6F77">
            <w:pPr>
              <w:pStyle w:val="FormatvorlageTextkrperRechts05cm"/>
              <w:rPr>
                <w:lang w:val="el-GR"/>
              </w:rPr>
            </w:pPr>
            <w:r>
              <w:rPr>
                <w:lang w:val="el-GR"/>
              </w:rPr>
              <w:t>Οι δ</w:t>
            </w:r>
            <w:r w:rsidRPr="00D42F29">
              <w:rPr>
                <w:lang w:val="el-GR"/>
              </w:rPr>
              <w:t>ικηγόροι μπο</w:t>
            </w:r>
            <w:r>
              <w:rPr>
                <w:lang w:val="el-GR"/>
              </w:rPr>
              <w:t>ρούν επίσης να ενθαρρύνουν τους δικαστές να ερμηνεύσουν και να εφαρμόσουν</w:t>
            </w:r>
            <w:r w:rsidRPr="00D42F29">
              <w:rPr>
                <w:lang w:val="el-GR"/>
              </w:rPr>
              <w:t xml:space="preserve"> το εσωτερικό δίκαιο υπό το φως των διεθνών και εθνικών προτύπων για τα ανθρώπινα δικαιώματα</w:t>
            </w:r>
            <w:r>
              <w:rPr>
                <w:lang w:val="el-GR"/>
              </w:rPr>
              <w:t xml:space="preserve"> για</w:t>
            </w:r>
            <w:r w:rsidRPr="00D42F29">
              <w:rPr>
                <w:lang w:val="el-GR"/>
              </w:rPr>
              <w:t xml:space="preserve"> να συμβάλουν σε μια συνεπή νομολογία</w:t>
            </w:r>
            <w:r>
              <w:rPr>
                <w:lang w:val="el-GR"/>
              </w:rPr>
              <w:t>,</w:t>
            </w:r>
            <w:r w:rsidRPr="00D42F29">
              <w:rPr>
                <w:lang w:val="el-GR"/>
              </w:rPr>
              <w:t xml:space="preserve"> </w:t>
            </w:r>
            <w:r>
              <w:rPr>
                <w:lang w:val="el-GR"/>
              </w:rPr>
              <w:t xml:space="preserve">που θα εγγυάται </w:t>
            </w:r>
            <w:r w:rsidRPr="00D42F29">
              <w:rPr>
                <w:lang w:val="el-GR"/>
              </w:rPr>
              <w:t>την ισότιμη προστασία των θυμάτων βασανιστηρίων και όλων των προσώπων πο</w:t>
            </w:r>
            <w:r>
              <w:rPr>
                <w:lang w:val="el-GR"/>
              </w:rPr>
              <w:t xml:space="preserve">υ </w:t>
            </w:r>
            <w:r>
              <w:rPr>
                <w:lang w:val="el-GR"/>
              </w:rPr>
              <w:lastRenderedPageBreak/>
              <w:t xml:space="preserve">υπόκεινται σε παραβιάσεις </w:t>
            </w:r>
            <w:r w:rsidRPr="00D42F29">
              <w:rPr>
                <w:lang w:val="el-GR"/>
              </w:rPr>
              <w:t>ανθρωπίνων δικαιωμάτων.</w:t>
            </w:r>
          </w:p>
          <w:p w:rsidR="000F64AE" w:rsidRPr="00F86E76" w:rsidRDefault="000F64AE" w:rsidP="00F54D6C">
            <w:pPr>
              <w:pStyle w:val="FormatvorlageTextkrperRechts05cm"/>
              <w:rPr>
                <w:rFonts w:cs="Calibri"/>
                <w:szCs w:val="22"/>
                <w:lang w:val="el-GR"/>
              </w:rPr>
            </w:pPr>
          </w:p>
        </w:tc>
        <w:tc>
          <w:tcPr>
            <w:tcW w:w="2552" w:type="dxa"/>
            <w:tcMar>
              <w:left w:w="170" w:type="dxa"/>
            </w:tcMar>
          </w:tcPr>
          <w:p w:rsidR="000F64AE" w:rsidRPr="00F86E76" w:rsidRDefault="000F64AE" w:rsidP="00F54D6C">
            <w:pPr>
              <w:pStyle w:val="FormatvorlageTextkrperRechts05cm"/>
              <w:rPr>
                <w:lang w:val="el-GR"/>
              </w:rPr>
            </w:pPr>
          </w:p>
          <w:p w:rsidR="000F64AE" w:rsidRPr="00F86E76" w:rsidRDefault="000F64AE" w:rsidP="00F54D6C">
            <w:pPr>
              <w:pStyle w:val="FormatvorlageTextkrperRechts05cm"/>
              <w:rPr>
                <w:lang w:val="el-GR"/>
              </w:rPr>
            </w:pPr>
          </w:p>
          <w:p w:rsidR="000F64AE" w:rsidRPr="00F86E76" w:rsidRDefault="000F64AE" w:rsidP="00F54D6C">
            <w:pPr>
              <w:pStyle w:val="FormatvorlageTextkrperRechts05cm"/>
              <w:rPr>
                <w:lang w:val="el-GR"/>
              </w:rPr>
            </w:pPr>
          </w:p>
          <w:p w:rsidR="000F64AE" w:rsidRPr="00F86E76" w:rsidRDefault="000F64AE" w:rsidP="00F54D6C">
            <w:pPr>
              <w:pStyle w:val="FormatvorlageTextkrperRechts05cm"/>
              <w:rPr>
                <w:lang w:val="el-GR"/>
              </w:rPr>
            </w:pPr>
          </w:p>
          <w:p w:rsidR="000F64AE" w:rsidRPr="00F86E76" w:rsidRDefault="000F64AE" w:rsidP="00F54D6C">
            <w:pPr>
              <w:pStyle w:val="FormatvorlageTextkrperRechts05cm"/>
              <w:rPr>
                <w:lang w:val="el-GR"/>
              </w:rPr>
            </w:pPr>
          </w:p>
          <w:p w:rsidR="000F64AE" w:rsidRPr="00F86E76" w:rsidRDefault="000F64AE" w:rsidP="00F54D6C">
            <w:pPr>
              <w:pStyle w:val="FormatvorlageTextkrperRechts05cm"/>
              <w:rPr>
                <w:lang w:val="el-GR"/>
              </w:rPr>
            </w:pPr>
          </w:p>
          <w:p w:rsidR="000F64AE" w:rsidRPr="00F86E76" w:rsidRDefault="000F64AE" w:rsidP="00F54D6C">
            <w:pPr>
              <w:pStyle w:val="FormatvorlageTextkrperRechts05cm"/>
              <w:rPr>
                <w:lang w:val="el-GR"/>
              </w:rPr>
            </w:pPr>
          </w:p>
          <w:p w:rsidR="000F64AE" w:rsidRPr="00F86E76" w:rsidRDefault="000F64AE" w:rsidP="00F54D6C">
            <w:pPr>
              <w:pStyle w:val="FormatvorlageTextkrperRechts05cm"/>
              <w:rPr>
                <w:lang w:val="el-GR"/>
              </w:rPr>
            </w:pPr>
          </w:p>
          <w:p w:rsidR="000F64AE" w:rsidRPr="00F86E76" w:rsidRDefault="000F64AE" w:rsidP="00973A30">
            <w:pPr>
              <w:pStyle w:val="Didacticremark"/>
              <w:numPr>
                <w:ilvl w:val="0"/>
                <w:numId w:val="0"/>
              </w:numPr>
              <w:rPr>
                <w:szCs w:val="20"/>
                <w:shd w:val="clear" w:color="auto" w:fill="FFFFFF"/>
                <w:lang w:val="el-GR"/>
              </w:rPr>
            </w:pPr>
          </w:p>
        </w:tc>
      </w:tr>
      <w:tr w:rsidR="000F64AE" w:rsidRPr="00C524A5" w:rsidTr="00F54D6C">
        <w:tc>
          <w:tcPr>
            <w:tcW w:w="7337" w:type="dxa"/>
          </w:tcPr>
          <w:p w:rsidR="000F64AE" w:rsidRPr="00FB4875" w:rsidRDefault="00785C46" w:rsidP="00F54D6C">
            <w:pPr>
              <w:pStyle w:val="Heading1"/>
            </w:pPr>
            <w:r w:rsidRPr="00785C46">
              <w:lastRenderedPageBreak/>
              <w:t>Ενίσχυση Ικανοτήτων</w:t>
            </w:r>
          </w:p>
        </w:tc>
        <w:tc>
          <w:tcPr>
            <w:tcW w:w="2552" w:type="dxa"/>
            <w:tcMar>
              <w:left w:w="170" w:type="dxa"/>
            </w:tcMar>
          </w:tcPr>
          <w:p w:rsidR="000F64AE" w:rsidRPr="00FB4875" w:rsidRDefault="000F64AE" w:rsidP="00F54D6C">
            <w:pPr>
              <w:pStyle w:val="Heading1"/>
              <w:numPr>
                <w:ilvl w:val="0"/>
                <w:numId w:val="0"/>
              </w:numPr>
              <w:ind w:left="360"/>
            </w:pPr>
          </w:p>
        </w:tc>
      </w:tr>
      <w:tr w:rsidR="000F64AE" w:rsidRPr="00D42F29" w:rsidTr="00F54D6C">
        <w:tc>
          <w:tcPr>
            <w:tcW w:w="7337" w:type="dxa"/>
          </w:tcPr>
          <w:p w:rsidR="00D42F29" w:rsidRDefault="00D42F29" w:rsidP="00F12F22">
            <w:pPr>
              <w:pStyle w:val="FormatvorlageTextkrperRechts05cm"/>
              <w:rPr>
                <w:lang w:val="el-GR"/>
              </w:rPr>
            </w:pPr>
            <w:r>
              <w:rPr>
                <w:lang w:val="el-GR"/>
              </w:rPr>
              <w:t>Η ε</w:t>
            </w:r>
            <w:r w:rsidRPr="00D42F29">
              <w:rPr>
                <w:lang w:val="el-GR"/>
              </w:rPr>
              <w:t xml:space="preserve">νίσχυση </w:t>
            </w:r>
            <w:r>
              <w:rPr>
                <w:lang w:val="el-GR"/>
              </w:rPr>
              <w:t>των ικανοτήτων</w:t>
            </w:r>
            <w:r w:rsidRPr="00D42F29">
              <w:rPr>
                <w:lang w:val="el-GR"/>
              </w:rPr>
              <w:t xml:space="preserve"> είναι ένα από τα σημαντικότερα καθήκοντα των δικηγόρων και των δικηγορικών συλλόγων για την ευαισθητοποίηση, την προώθηση πολιτικών πρωτοβουλιών και την αύξηση της διαφάνειας του συστήματος ποινικής δικαιοσύνης, με στόχο την πρόληψη και την απαγόρευση των βασανιστηρίων και της κακ</w:t>
            </w:r>
            <w:r>
              <w:rPr>
                <w:lang w:val="el-GR"/>
              </w:rPr>
              <w:t xml:space="preserve">ής </w:t>
            </w:r>
            <w:r w:rsidRPr="00D42F29">
              <w:rPr>
                <w:lang w:val="el-GR"/>
              </w:rPr>
              <w:t xml:space="preserve">μεταχείρισης. </w:t>
            </w:r>
            <w:r>
              <w:rPr>
                <w:lang w:val="el-GR"/>
              </w:rPr>
              <w:t>Οι ε</w:t>
            </w:r>
            <w:r w:rsidRPr="00D42F29">
              <w:rPr>
                <w:lang w:val="el-GR"/>
              </w:rPr>
              <w:t xml:space="preserve">κστρατείες ευαισθητοποίησης είναι </w:t>
            </w:r>
            <w:r>
              <w:rPr>
                <w:lang w:val="el-GR"/>
              </w:rPr>
              <w:t>σημαντικές, διότι μπορούν να επηρεάσουν</w:t>
            </w:r>
            <w:r w:rsidRPr="00D42F29">
              <w:rPr>
                <w:lang w:val="el-GR"/>
              </w:rPr>
              <w:t xml:space="preserve"> τους ενδιαφερόμενους και τους φορείς</w:t>
            </w:r>
            <w:r>
              <w:rPr>
                <w:lang w:val="el-GR"/>
              </w:rPr>
              <w:t xml:space="preserve"> λήψης αποφάσεων και να συμβάλουν</w:t>
            </w:r>
            <w:r w:rsidRPr="00D42F29">
              <w:rPr>
                <w:lang w:val="el-GR"/>
              </w:rPr>
              <w:t xml:space="preserve"> </w:t>
            </w:r>
            <w:r>
              <w:rPr>
                <w:lang w:val="el-GR"/>
              </w:rPr>
              <w:t>σ</w:t>
            </w:r>
            <w:r w:rsidRPr="00D42F29">
              <w:rPr>
                <w:lang w:val="el-GR"/>
              </w:rPr>
              <w:t xml:space="preserve">την αλλαγή νοοτροπίας </w:t>
            </w:r>
            <w:r>
              <w:rPr>
                <w:lang w:val="el-GR"/>
              </w:rPr>
              <w:t>σε όλη την  κοινότητα. Μέσω εκπαιδευτικών προγραμμάτων, συνεδρίων</w:t>
            </w:r>
            <w:r w:rsidRPr="00D42F29">
              <w:rPr>
                <w:lang w:val="el-GR"/>
              </w:rPr>
              <w:t xml:space="preserve"> και σεμιν</w:t>
            </w:r>
            <w:r>
              <w:rPr>
                <w:lang w:val="el-GR"/>
              </w:rPr>
              <w:t>αρίων</w:t>
            </w:r>
            <w:r w:rsidRPr="00D42F29">
              <w:rPr>
                <w:lang w:val="el-GR"/>
              </w:rPr>
              <w:t xml:space="preserve"> εμπειρογνωμόνων</w:t>
            </w:r>
            <w:r>
              <w:rPr>
                <w:lang w:val="el-GR"/>
              </w:rPr>
              <w:t>, οι δικηγόροι μπορούν να απευθυνθούν σ</w:t>
            </w:r>
            <w:r w:rsidRPr="00D42F29">
              <w:rPr>
                <w:lang w:val="el-GR"/>
              </w:rPr>
              <w:t xml:space="preserve">ε ένα ευρύ κοινό και, ως εκ τούτου, </w:t>
            </w:r>
            <w:r>
              <w:rPr>
                <w:lang w:val="el-GR"/>
              </w:rPr>
              <w:t>να τονίσουν τις</w:t>
            </w:r>
            <w:r w:rsidRPr="00D42F29">
              <w:rPr>
                <w:lang w:val="el-GR"/>
              </w:rPr>
              <w:t xml:space="preserve"> υφιστάμενων δυνατοτήτων ή να ενισχύσουν τις διάφορες αρχές, θεσμούς και τους φορείς της κοινωνίας των πολιτών που δραστηριοποιούνται στον τομέα της πρόληψης των βασανιστηρίων.</w:t>
            </w:r>
          </w:p>
          <w:p w:rsidR="00D42F29" w:rsidRDefault="00D42F29" w:rsidP="00F12F22">
            <w:pPr>
              <w:pStyle w:val="FormatvorlageTextkrperRechts05cm"/>
              <w:rPr>
                <w:lang w:val="el-GR"/>
              </w:rPr>
            </w:pPr>
            <w:r>
              <w:rPr>
                <w:lang w:val="el-GR"/>
              </w:rPr>
              <w:t>Οι δ</w:t>
            </w:r>
            <w:r w:rsidRPr="00D42F29">
              <w:rPr>
                <w:lang w:val="el-GR"/>
              </w:rPr>
              <w:t>ικηγόροι θα πρέπει να αν</w:t>
            </w:r>
            <w:r>
              <w:rPr>
                <w:lang w:val="el-GR"/>
              </w:rPr>
              <w:t>απτύξουν</w:t>
            </w:r>
            <w:r w:rsidRPr="00D42F29">
              <w:rPr>
                <w:lang w:val="el-GR"/>
              </w:rPr>
              <w:t xml:space="preserve"> μια σειρά μέτρων για τη διευκόλυνση της πρόσβασης των πολιτών σε πληροφορίες σχετικά με κρούσματα βασανιστηρίων, έρευνες, τις διώξεις και την αποκατάσταση, π.χ. με τη δημιουργία βάσεων δεδομένων. </w:t>
            </w:r>
            <w:r w:rsidR="007478AB">
              <w:rPr>
                <w:lang w:val="el-GR"/>
              </w:rPr>
              <w:t>Επιπλέον αποτελεσματικό μέτρο για την πρόληψη των βασανιστηρίων αποτελεί η βοήθεια σ</w:t>
            </w:r>
            <w:r w:rsidRPr="00D42F29">
              <w:rPr>
                <w:lang w:val="el-GR"/>
              </w:rPr>
              <w:t>την ανάπτυξη δικτύων δικηγό</w:t>
            </w:r>
            <w:r w:rsidR="007478AB">
              <w:rPr>
                <w:lang w:val="el-GR"/>
              </w:rPr>
              <w:t>ρων, κοινωνικών λειτουργών, ΜΚΟ, ομάδων</w:t>
            </w:r>
            <w:r w:rsidRPr="00D42F29">
              <w:rPr>
                <w:lang w:val="el-GR"/>
              </w:rPr>
              <w:t xml:space="preserve"> εκκλησία</w:t>
            </w:r>
            <w:r w:rsidR="007478AB">
              <w:rPr>
                <w:lang w:val="el-GR"/>
              </w:rPr>
              <w:t>ς</w:t>
            </w:r>
            <w:r w:rsidRPr="00D42F29">
              <w:rPr>
                <w:lang w:val="el-GR"/>
              </w:rPr>
              <w:t xml:space="preserve"> ή </w:t>
            </w:r>
            <w:r w:rsidR="007478AB">
              <w:rPr>
                <w:lang w:val="el-GR"/>
              </w:rPr>
              <w:t xml:space="preserve">γραφείων δωρεάν παροχής νομικής βοήθειας </w:t>
            </w:r>
            <w:r w:rsidRPr="00D42F29">
              <w:rPr>
                <w:lang w:val="el-GR"/>
              </w:rPr>
              <w:t xml:space="preserve"> με κατάλληλους μηχανισμούς συντονισμού για </w:t>
            </w:r>
            <w:r w:rsidR="007478AB">
              <w:rPr>
                <w:lang w:val="el-GR"/>
              </w:rPr>
              <w:t>να ενθαρρύνουν την διαφοροποίηση</w:t>
            </w:r>
            <w:r w:rsidRPr="00D42F29">
              <w:rPr>
                <w:lang w:val="el-GR"/>
              </w:rPr>
              <w:t xml:space="preserve"> της παρ</w:t>
            </w:r>
            <w:r w:rsidR="007478AB">
              <w:rPr>
                <w:lang w:val="el-GR"/>
              </w:rPr>
              <w:t xml:space="preserve">οχής </w:t>
            </w:r>
            <w:r w:rsidR="007478AB" w:rsidRPr="00D42F29">
              <w:rPr>
                <w:lang w:val="el-GR"/>
              </w:rPr>
              <w:t xml:space="preserve">νομικής </w:t>
            </w:r>
            <w:r w:rsidRPr="00D42F29">
              <w:rPr>
                <w:lang w:val="el-GR"/>
              </w:rPr>
              <w:t>βοήθειας . Μια χώρα μπορεί να επωφεληθεί σημαντικά από την συνεργασί</w:t>
            </w:r>
            <w:r w:rsidR="007478AB">
              <w:rPr>
                <w:lang w:val="el-GR"/>
              </w:rPr>
              <w:t>α με εμπειρογνώμονες σ</w:t>
            </w:r>
            <w:r w:rsidRPr="00D42F29">
              <w:rPr>
                <w:lang w:val="el-GR"/>
              </w:rPr>
              <w:t>το θέμα της απαγόρευσης των βασανιστηρίων και της πρόληψης από τις άλλες χώρες που έχουν εμπειρία από π</w:t>
            </w:r>
            <w:r w:rsidR="007478AB">
              <w:rPr>
                <w:lang w:val="el-GR"/>
              </w:rPr>
              <w:t xml:space="preserve">ρώτο χέρι για τη δημιουργία </w:t>
            </w:r>
            <w:r w:rsidRPr="00D42F29">
              <w:rPr>
                <w:lang w:val="el-GR"/>
              </w:rPr>
              <w:t>προληπτικ</w:t>
            </w:r>
            <w:r w:rsidR="007478AB">
              <w:rPr>
                <w:lang w:val="el-GR"/>
              </w:rPr>
              <w:t xml:space="preserve">ών μέτρων, την προετοιμασία </w:t>
            </w:r>
            <w:r w:rsidRPr="00D42F29">
              <w:rPr>
                <w:lang w:val="el-GR"/>
              </w:rPr>
              <w:t>νομικών κειμένων και διατάξεων και τη βελτίωση του συστήματος ποινικής δικαιοσύνης.</w:t>
            </w:r>
          </w:p>
          <w:p w:rsidR="007478AB" w:rsidRDefault="007478AB" w:rsidP="00F12F22">
            <w:pPr>
              <w:pStyle w:val="FormatvorlageTextkrperRechts05cm"/>
              <w:rPr>
                <w:lang w:val="el-GR"/>
              </w:rPr>
            </w:pPr>
            <w:r w:rsidRPr="007478AB">
              <w:rPr>
                <w:lang w:val="el-GR"/>
              </w:rPr>
              <w:t xml:space="preserve">Η συνιστώσα της εκπαίδευσης είναι ένα απαραίτητο εργαλείο για </w:t>
            </w:r>
            <w:r>
              <w:rPr>
                <w:lang w:val="el-GR"/>
              </w:rPr>
              <w:t xml:space="preserve">τους </w:t>
            </w:r>
            <w:r w:rsidRPr="007478AB">
              <w:rPr>
                <w:lang w:val="el-GR"/>
              </w:rPr>
              <w:t>δικηγόρους για να μοιραστούν τις γνώσεις και τις εμπειρίες τους όσον αφορά την πρόληψη των βασανιστηρίων και της κακής μεταχείρισης με τους άλ</w:t>
            </w:r>
            <w:r>
              <w:rPr>
                <w:lang w:val="el-GR"/>
              </w:rPr>
              <w:t>λους συναδέλφους τους</w:t>
            </w:r>
            <w:r w:rsidRPr="007478AB">
              <w:rPr>
                <w:lang w:val="el-GR"/>
              </w:rPr>
              <w:t xml:space="preserve">, την ανάπτυξη μεθόδων για την πρόληψη, καθώς και </w:t>
            </w:r>
            <w:r>
              <w:rPr>
                <w:lang w:val="el-GR"/>
              </w:rPr>
              <w:t xml:space="preserve">για </w:t>
            </w:r>
            <w:r w:rsidRPr="007478AB">
              <w:rPr>
                <w:lang w:val="el-GR"/>
              </w:rPr>
              <w:t>έναν κώδικα ηθικής της εργ</w:t>
            </w:r>
            <w:r>
              <w:rPr>
                <w:lang w:val="el-GR"/>
              </w:rPr>
              <w:t xml:space="preserve">ασίας και τη δημιουργία δικτύων </w:t>
            </w:r>
            <w:r w:rsidRPr="007478AB">
              <w:rPr>
                <w:lang w:val="el-GR"/>
              </w:rPr>
              <w:t xml:space="preserve">νομικών επαγγελμάτων. Επιπλέον, είναι ένα </w:t>
            </w:r>
            <w:r>
              <w:rPr>
                <w:lang w:val="el-GR"/>
              </w:rPr>
              <w:t xml:space="preserve">κρίσιμο εργαλείο για να μοιραστούν την αποδεδειγμένη νομική γνώση </w:t>
            </w:r>
            <w:r w:rsidR="006462AB">
              <w:rPr>
                <w:lang w:val="el-GR"/>
              </w:rPr>
              <w:t xml:space="preserve">τους </w:t>
            </w:r>
            <w:r>
              <w:rPr>
                <w:lang w:val="el-GR"/>
              </w:rPr>
              <w:t>με άλλους παράγοντες της κοινωνίας των πολιτών και του Κράτους</w:t>
            </w:r>
            <w:r w:rsidRPr="007478AB">
              <w:rPr>
                <w:lang w:val="el-GR"/>
              </w:rPr>
              <w:t xml:space="preserve">. </w:t>
            </w:r>
            <w:r w:rsidR="006462AB">
              <w:rPr>
                <w:lang w:val="el-GR"/>
              </w:rPr>
              <w:t>Υπό αυτό το πρίσμα,</w:t>
            </w:r>
            <w:r w:rsidRPr="007478AB">
              <w:rPr>
                <w:lang w:val="el-GR"/>
              </w:rPr>
              <w:t xml:space="preserve"> οι δικηγόροι θα πρέπει επίσης να προωθήσ</w:t>
            </w:r>
            <w:r w:rsidR="006462AB">
              <w:rPr>
                <w:lang w:val="el-GR"/>
              </w:rPr>
              <w:t>ουν</w:t>
            </w:r>
            <w:r w:rsidRPr="007478AB">
              <w:rPr>
                <w:lang w:val="el-GR"/>
              </w:rPr>
              <w:t xml:space="preserve"> </w:t>
            </w:r>
            <w:r w:rsidR="006462AB">
              <w:rPr>
                <w:lang w:val="el-GR"/>
              </w:rPr>
              <w:t xml:space="preserve">εκπαιδευτικά σεμινάρια </w:t>
            </w:r>
            <w:r w:rsidRPr="007478AB">
              <w:rPr>
                <w:lang w:val="el-GR"/>
              </w:rPr>
              <w:t xml:space="preserve">μαζί με εισαγγελείς και άλλους </w:t>
            </w:r>
            <w:r w:rsidR="006462AB">
              <w:rPr>
                <w:lang w:val="el-GR"/>
              </w:rPr>
              <w:t xml:space="preserve">νομικούς </w:t>
            </w:r>
            <w:r w:rsidRPr="007478AB">
              <w:rPr>
                <w:lang w:val="el-GR"/>
              </w:rPr>
              <w:t xml:space="preserve">επαγγελματίες για την απόλυτη απαγόρευση των βασανιστηρίων και τη σημασία των διασφαλίσεων κατά </w:t>
            </w:r>
            <w:r w:rsidRPr="007478AB">
              <w:rPr>
                <w:lang w:val="el-GR"/>
              </w:rPr>
              <w:lastRenderedPageBreak/>
              <w:t>των βασανιστηρίων και της κακής μεταχείρισης.</w:t>
            </w:r>
          </w:p>
          <w:p w:rsidR="000F64AE" w:rsidRPr="00F86E76" w:rsidRDefault="000F64AE" w:rsidP="00D13A82">
            <w:pPr>
              <w:pStyle w:val="FormatvorlageTextkrperRechts05cm"/>
              <w:rPr>
                <w:rFonts w:cs="Calibri"/>
                <w:szCs w:val="22"/>
                <w:lang w:val="el-GR"/>
              </w:rPr>
            </w:pPr>
          </w:p>
        </w:tc>
        <w:tc>
          <w:tcPr>
            <w:tcW w:w="2552" w:type="dxa"/>
            <w:tcMar>
              <w:left w:w="170" w:type="dxa"/>
            </w:tcMar>
          </w:tcPr>
          <w:p w:rsidR="000F64AE" w:rsidRPr="00F86E76" w:rsidRDefault="000F64AE"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F86E76" w:rsidRDefault="0042123F" w:rsidP="00F54D6C">
            <w:pPr>
              <w:pStyle w:val="FormatvorlageTextkrperRechts05cm"/>
              <w:rPr>
                <w:lang w:val="el-GR"/>
              </w:rPr>
            </w:pPr>
          </w:p>
          <w:p w:rsidR="0042123F" w:rsidRPr="00D42F29" w:rsidRDefault="0042123F" w:rsidP="00D42F29">
            <w:pPr>
              <w:pStyle w:val="FormatvorlageTextkrperRechts05cm"/>
              <w:rPr>
                <w:lang w:val="el-GR"/>
              </w:rPr>
            </w:pPr>
            <w:r w:rsidRPr="00514AFC">
              <w:sym w:font="Wingdings" w:char="F026"/>
            </w:r>
            <w:r w:rsidR="00D42F29" w:rsidRPr="00D42F29">
              <w:rPr>
                <w:lang w:val="el-GR"/>
              </w:rPr>
              <w:t xml:space="preserve"> </w:t>
            </w:r>
            <w:r w:rsidR="00D42F29">
              <w:rPr>
                <w:lang w:val="el-GR"/>
              </w:rPr>
              <w:t>Βλ</w:t>
            </w:r>
            <w:r w:rsidR="00D42F29" w:rsidRPr="00D42F29">
              <w:rPr>
                <w:lang w:val="el-GR"/>
              </w:rPr>
              <w:t xml:space="preserve">. </w:t>
            </w:r>
            <w:r w:rsidR="00D42F29">
              <w:rPr>
                <w:lang w:val="el-GR"/>
              </w:rPr>
              <w:t xml:space="preserve">Τις </w:t>
            </w:r>
            <w:r w:rsidR="00D42F29">
              <w:rPr>
                <w:i/>
                <w:lang w:val="el-GR"/>
              </w:rPr>
              <w:t>Βασικές Αρχές του ΟΗΕ για τον Ρόλο των Δικηγόρων</w:t>
            </w:r>
            <w:r w:rsidR="00D13A82" w:rsidRPr="00D42F29">
              <w:rPr>
                <w:i/>
                <w:lang w:val="el-GR"/>
              </w:rPr>
              <w:t xml:space="preserve">, </w:t>
            </w:r>
            <w:r w:rsidR="00D13A82" w:rsidRPr="00D42F29">
              <w:rPr>
                <w:lang w:val="el-GR"/>
              </w:rPr>
              <w:t>1990</w:t>
            </w:r>
          </w:p>
        </w:tc>
      </w:tr>
      <w:tr w:rsidR="000F64AE" w:rsidRPr="00D42F29" w:rsidTr="00F54D6C">
        <w:tc>
          <w:tcPr>
            <w:tcW w:w="7337" w:type="dxa"/>
          </w:tcPr>
          <w:p w:rsidR="000F64AE" w:rsidRPr="00F86E76" w:rsidRDefault="00785C46" w:rsidP="00F54D6C">
            <w:pPr>
              <w:pStyle w:val="Heading1"/>
              <w:rPr>
                <w:lang w:val="el-GR"/>
              </w:rPr>
            </w:pPr>
            <w:r w:rsidRPr="00785C46">
              <w:rPr>
                <w:lang w:val="el-GR"/>
              </w:rPr>
              <w:lastRenderedPageBreak/>
              <w:t>Ο</w:t>
            </w:r>
            <w:r w:rsidRPr="00F86E76">
              <w:rPr>
                <w:lang w:val="el-GR"/>
              </w:rPr>
              <w:t xml:space="preserve"> </w:t>
            </w:r>
            <w:r w:rsidRPr="00785C46">
              <w:rPr>
                <w:lang w:val="el-GR"/>
              </w:rPr>
              <w:t>ρόλος</w:t>
            </w:r>
            <w:r w:rsidRPr="00F86E76">
              <w:rPr>
                <w:lang w:val="el-GR"/>
              </w:rPr>
              <w:t xml:space="preserve"> </w:t>
            </w:r>
            <w:r w:rsidRPr="00785C46">
              <w:rPr>
                <w:lang w:val="el-GR"/>
              </w:rPr>
              <w:t>του</w:t>
            </w:r>
            <w:r w:rsidRPr="00F86E76">
              <w:rPr>
                <w:lang w:val="el-GR"/>
              </w:rPr>
              <w:t xml:space="preserve"> </w:t>
            </w:r>
            <w:r w:rsidRPr="00785C46">
              <w:rPr>
                <w:lang w:val="el-GR"/>
              </w:rPr>
              <w:t>δικαστικού</w:t>
            </w:r>
            <w:r w:rsidRPr="00F86E76">
              <w:rPr>
                <w:lang w:val="el-GR"/>
              </w:rPr>
              <w:t xml:space="preserve"> </w:t>
            </w:r>
            <w:r w:rsidRPr="00785C46">
              <w:rPr>
                <w:lang w:val="el-GR"/>
              </w:rPr>
              <w:t>αγώνα</w:t>
            </w:r>
          </w:p>
        </w:tc>
        <w:tc>
          <w:tcPr>
            <w:tcW w:w="2552" w:type="dxa"/>
            <w:tcMar>
              <w:left w:w="170" w:type="dxa"/>
            </w:tcMar>
          </w:tcPr>
          <w:p w:rsidR="000F64AE" w:rsidRPr="00F86E76" w:rsidRDefault="000F64AE" w:rsidP="00F54D6C">
            <w:pPr>
              <w:pStyle w:val="Heading1"/>
              <w:numPr>
                <w:ilvl w:val="0"/>
                <w:numId w:val="0"/>
              </w:numPr>
              <w:ind w:left="360"/>
              <w:rPr>
                <w:lang w:val="el-GR"/>
              </w:rPr>
            </w:pPr>
          </w:p>
        </w:tc>
      </w:tr>
      <w:tr w:rsidR="000F64AE" w:rsidRPr="00F86E76" w:rsidTr="00F54D6C">
        <w:tc>
          <w:tcPr>
            <w:tcW w:w="7337" w:type="dxa"/>
          </w:tcPr>
          <w:p w:rsidR="009E650C" w:rsidRPr="009E650C" w:rsidRDefault="009E650C" w:rsidP="009E650C">
            <w:pPr>
              <w:pStyle w:val="FormatvorlageTextkrperRechts05cm"/>
              <w:rPr>
                <w:lang w:val="el-GR"/>
              </w:rPr>
            </w:pPr>
            <w:r w:rsidRPr="009E650C">
              <w:rPr>
                <w:lang w:val="el-GR"/>
              </w:rPr>
              <w:t xml:space="preserve">Οι δικηγόροι μπορούν </w:t>
            </w:r>
            <w:r w:rsidR="00B579C9">
              <w:rPr>
                <w:lang w:val="el-GR"/>
              </w:rPr>
              <w:t>να έχουν τεράστιο αντίκτυπο σ</w:t>
            </w:r>
            <w:r w:rsidRPr="009E650C">
              <w:rPr>
                <w:lang w:val="el-GR"/>
              </w:rPr>
              <w:t>το νομικό πλαίσιο με τον καθορισμό ή ρύθμιση προηγο</w:t>
            </w:r>
            <w:r w:rsidR="00B62643">
              <w:rPr>
                <w:lang w:val="el-GR"/>
              </w:rPr>
              <w:t>υμένων παραδειγμάτων</w:t>
            </w:r>
            <w:r w:rsidRPr="009E650C">
              <w:rPr>
                <w:lang w:val="el-GR"/>
              </w:rPr>
              <w:t>. Σε χώρες χωρίς νομολογία όσον αφ</w:t>
            </w:r>
            <w:r w:rsidR="00B62643">
              <w:rPr>
                <w:lang w:val="el-GR"/>
              </w:rPr>
              <w:t xml:space="preserve">ορά τα βασανιστήρια και την κακή </w:t>
            </w:r>
            <w:r w:rsidRPr="009E650C">
              <w:rPr>
                <w:lang w:val="el-GR"/>
              </w:rPr>
              <w:t xml:space="preserve">μεταχείριση, μια επιτυχημένη καταδίκη του δράστη των βασανιστηρίων μπορεί - ιδιαίτερα σε συστήματα </w:t>
            </w:r>
            <w:r w:rsidR="00B579C9">
              <w:rPr>
                <w:lang w:val="el-GR"/>
              </w:rPr>
              <w:t>common law (αγγλοσαξωνικού δικαίου)</w:t>
            </w:r>
            <w:r w:rsidRPr="009E650C">
              <w:rPr>
                <w:lang w:val="el-GR"/>
              </w:rPr>
              <w:t xml:space="preserve"> </w:t>
            </w:r>
            <w:r w:rsidR="00B62643">
              <w:rPr>
                <w:lang w:val="el-GR"/>
              </w:rPr>
              <w:t>–</w:t>
            </w:r>
            <w:r w:rsidRPr="009E650C">
              <w:rPr>
                <w:lang w:val="el-GR"/>
              </w:rPr>
              <w:t xml:space="preserve"> </w:t>
            </w:r>
            <w:r w:rsidR="00B62643">
              <w:rPr>
                <w:lang w:val="el-GR"/>
              </w:rPr>
              <w:t xml:space="preserve">να δώσει </w:t>
            </w:r>
            <w:r w:rsidRPr="009E650C">
              <w:rPr>
                <w:lang w:val="el-GR"/>
              </w:rPr>
              <w:t>το έναυσμα για μια σειρά περαιτέρω δ</w:t>
            </w:r>
            <w:r w:rsidR="00B579C9">
              <w:rPr>
                <w:lang w:val="el-GR"/>
              </w:rPr>
              <w:t>ικώ</w:t>
            </w:r>
            <w:r w:rsidRPr="009E650C">
              <w:rPr>
                <w:lang w:val="el-GR"/>
              </w:rPr>
              <w:t>ν και, ως εκ τούτου, μπορεί να έχει μεγάλο αντίκτ</w:t>
            </w:r>
            <w:r w:rsidR="00B579C9">
              <w:rPr>
                <w:lang w:val="el-GR"/>
              </w:rPr>
              <w:t>υπο στην μείωση της ατιμωρησίας</w:t>
            </w:r>
            <w:r w:rsidRPr="009E650C">
              <w:rPr>
                <w:lang w:val="el-GR"/>
              </w:rPr>
              <w:t xml:space="preserve"> και </w:t>
            </w:r>
            <w:r w:rsidR="00B579C9">
              <w:rPr>
                <w:lang w:val="el-GR"/>
              </w:rPr>
              <w:t>τ</w:t>
            </w:r>
            <w:r w:rsidRPr="009E650C">
              <w:rPr>
                <w:lang w:val="el-GR"/>
              </w:rPr>
              <w:t>η</w:t>
            </w:r>
            <w:r w:rsidR="00B579C9">
              <w:rPr>
                <w:lang w:val="el-GR"/>
              </w:rPr>
              <w:t>ν</w:t>
            </w:r>
            <w:r w:rsidRPr="009E650C">
              <w:rPr>
                <w:lang w:val="el-GR"/>
              </w:rPr>
              <w:t xml:space="preserve"> αύξηση της ευαισθητοποίησης του γενικού πληθυσμού σχετικά με την ανάγκη για την απαγόρευση και την πρόληψη των βασανιστηρίων και της κακής μεταχείρισης.</w:t>
            </w:r>
          </w:p>
          <w:p w:rsidR="009E650C" w:rsidRDefault="00B579C9" w:rsidP="009E650C">
            <w:pPr>
              <w:pStyle w:val="FormatvorlageTextkrperRechts05cm"/>
              <w:rPr>
                <w:lang w:val="el-GR"/>
              </w:rPr>
            </w:pPr>
            <w:r>
              <w:rPr>
                <w:lang w:val="el-GR"/>
              </w:rPr>
              <w:t xml:space="preserve">Η προνομιακή </w:t>
            </w:r>
            <w:r w:rsidR="009E650C" w:rsidRPr="009E650C">
              <w:rPr>
                <w:lang w:val="el-GR"/>
              </w:rPr>
              <w:t>πρόσβαση</w:t>
            </w:r>
            <w:r>
              <w:rPr>
                <w:lang w:val="el-GR"/>
              </w:rPr>
              <w:t xml:space="preserve"> των δικηγόρων</w:t>
            </w:r>
            <w:r w:rsidR="009E650C" w:rsidRPr="009E650C">
              <w:rPr>
                <w:lang w:val="el-GR"/>
              </w:rPr>
              <w:t xml:space="preserve"> σε άτομα </w:t>
            </w:r>
            <w:r>
              <w:rPr>
                <w:lang w:val="el-GR"/>
              </w:rPr>
              <w:t xml:space="preserve">που κρατούνται, τους </w:t>
            </w:r>
            <w:r w:rsidR="009E650C" w:rsidRPr="009E650C">
              <w:rPr>
                <w:lang w:val="el-GR"/>
              </w:rPr>
              <w:t xml:space="preserve">επιτρέπει </w:t>
            </w:r>
            <w:r>
              <w:rPr>
                <w:lang w:val="el-GR"/>
              </w:rPr>
              <w:t>να τεκμηριώσουν</w:t>
            </w:r>
            <w:r w:rsidR="009E650C" w:rsidRPr="009E650C">
              <w:rPr>
                <w:lang w:val="el-GR"/>
              </w:rPr>
              <w:t xml:space="preserve"> τους ισχυρισμούς για βασανιστήρια και τους </w:t>
            </w:r>
            <w:r>
              <w:rPr>
                <w:lang w:val="el-GR"/>
              </w:rPr>
              <w:t>δίνει τη δυνατότητα να καταθέσουν</w:t>
            </w:r>
            <w:r w:rsidR="009E650C" w:rsidRPr="009E650C">
              <w:rPr>
                <w:lang w:val="el-GR"/>
              </w:rPr>
              <w:t xml:space="preserve"> στη συνέχεια κατηγορίες εναντίον </w:t>
            </w:r>
            <w:r>
              <w:rPr>
                <w:lang w:val="el-GR"/>
              </w:rPr>
              <w:t>των φερόμενων</w:t>
            </w:r>
            <w:r w:rsidR="009E650C" w:rsidRPr="009E650C">
              <w:rPr>
                <w:lang w:val="el-GR"/>
              </w:rPr>
              <w:t xml:space="preserve"> ως δρ</w:t>
            </w:r>
            <w:r>
              <w:rPr>
                <w:lang w:val="el-GR"/>
              </w:rPr>
              <w:t>αστών</w:t>
            </w:r>
            <w:r w:rsidR="009E650C" w:rsidRPr="009E650C">
              <w:rPr>
                <w:lang w:val="el-GR"/>
              </w:rPr>
              <w:t xml:space="preserve"> και</w:t>
            </w:r>
            <w:r>
              <w:rPr>
                <w:lang w:val="el-GR"/>
              </w:rPr>
              <w:t xml:space="preserve"> των </w:t>
            </w:r>
            <w:r w:rsidR="009E650C" w:rsidRPr="009E650C">
              <w:rPr>
                <w:lang w:val="el-GR"/>
              </w:rPr>
              <w:t>διοικητ</w:t>
            </w:r>
            <w:r>
              <w:rPr>
                <w:lang w:val="el-GR"/>
              </w:rPr>
              <w:t>ών</w:t>
            </w:r>
            <w:r w:rsidR="009E650C" w:rsidRPr="009E650C">
              <w:rPr>
                <w:lang w:val="el-GR"/>
              </w:rPr>
              <w:t xml:space="preserve"> τους, ο</w:t>
            </w:r>
            <w:r>
              <w:rPr>
                <w:lang w:val="el-GR"/>
              </w:rPr>
              <w:t>ι οποίοι διέταξαν</w:t>
            </w:r>
            <w:r w:rsidR="009E650C" w:rsidRPr="009E650C">
              <w:rPr>
                <w:lang w:val="el-GR"/>
              </w:rPr>
              <w:t xml:space="preserve"> τέτοιες ενέργειες</w:t>
            </w:r>
            <w:r>
              <w:rPr>
                <w:lang w:val="el-GR"/>
              </w:rPr>
              <w:t>, ή γνώριζαν για αυτές</w:t>
            </w:r>
            <w:r w:rsidR="009E650C" w:rsidRPr="009E650C">
              <w:rPr>
                <w:lang w:val="el-GR"/>
              </w:rPr>
              <w:t>.</w:t>
            </w:r>
          </w:p>
          <w:p w:rsidR="00B579C9" w:rsidRPr="00B579C9" w:rsidRDefault="00B579C9" w:rsidP="00B579C9">
            <w:pPr>
              <w:pStyle w:val="FormatvorlageTextkrperRechts05cm"/>
              <w:rPr>
                <w:lang w:val="el-GR"/>
              </w:rPr>
            </w:pPr>
            <w:r w:rsidRPr="00B579C9">
              <w:rPr>
                <w:lang w:val="el-GR"/>
              </w:rPr>
              <w:t>Η χρήση των στρατηγικών διαφορών μπορεί να οδηγήσει στη δ</w:t>
            </w:r>
            <w:r w:rsidR="00C41C59">
              <w:rPr>
                <w:lang w:val="el-GR"/>
              </w:rPr>
              <w:t xml:space="preserve">ημιουργία των δικαστικών προηγουμένων </w:t>
            </w:r>
            <w:r w:rsidRPr="00B579C9">
              <w:rPr>
                <w:lang w:val="el-GR"/>
              </w:rPr>
              <w:t>που μ</w:t>
            </w:r>
            <w:r w:rsidR="00B21B34">
              <w:rPr>
                <w:lang w:val="el-GR"/>
              </w:rPr>
              <w:t>πορεί να είναι ιδιαίτερα χρήσιμα</w:t>
            </w:r>
            <w:r w:rsidRPr="00B579C9">
              <w:rPr>
                <w:lang w:val="el-GR"/>
              </w:rPr>
              <w:t xml:space="preserve"> σε σχέση με τις αποζημιώσεις για τα θύματα βασανιστη</w:t>
            </w:r>
            <w:r w:rsidR="00B21B34">
              <w:rPr>
                <w:lang w:val="el-GR"/>
              </w:rPr>
              <w:t>ρίων και μπορεί, ως εκ τούτου, να</w:t>
            </w:r>
            <w:r w:rsidRPr="00B579C9">
              <w:rPr>
                <w:lang w:val="el-GR"/>
              </w:rPr>
              <w:t xml:space="preserve"> διευκ</w:t>
            </w:r>
            <w:r w:rsidR="00B21B34">
              <w:rPr>
                <w:lang w:val="el-GR"/>
              </w:rPr>
              <w:t>ολύνουν την πολιτικής διαδικασία για να λάβουν</w:t>
            </w:r>
            <w:r w:rsidRPr="00B579C9">
              <w:rPr>
                <w:lang w:val="el-GR"/>
              </w:rPr>
              <w:t xml:space="preserve"> οικονομική αποζημίωση.</w:t>
            </w:r>
          </w:p>
          <w:p w:rsidR="00B579C9" w:rsidRDefault="00B579C9" w:rsidP="00B579C9">
            <w:pPr>
              <w:pStyle w:val="FormatvorlageTextkrperRechts05cm"/>
              <w:rPr>
                <w:lang w:val="el-GR"/>
              </w:rPr>
            </w:pPr>
            <w:r w:rsidRPr="00B579C9">
              <w:rPr>
                <w:lang w:val="el-GR"/>
              </w:rPr>
              <w:t>Σε όλα τα στάδια της δίκης, οι δικηγόροι πρέπει να διασφαλίζου</w:t>
            </w:r>
            <w:r w:rsidR="00B21B34">
              <w:rPr>
                <w:lang w:val="el-GR"/>
              </w:rPr>
              <w:t>ν ότι οποιαδήποτε</w:t>
            </w:r>
            <w:r w:rsidRPr="00B579C9">
              <w:rPr>
                <w:lang w:val="el-GR"/>
              </w:rPr>
              <w:t xml:space="preserve"> στοιχεία</w:t>
            </w:r>
            <w:r w:rsidR="00B21B34">
              <w:rPr>
                <w:lang w:val="el-GR"/>
              </w:rPr>
              <w:t xml:space="preserve"> αποκτηθέντα μέσω εξαναγκασμού θ</w:t>
            </w:r>
            <w:r w:rsidRPr="00B579C9">
              <w:rPr>
                <w:lang w:val="el-GR"/>
              </w:rPr>
              <w:t>α αποκλειστούν από τη δίκη. Η μόνη εξαίρεση από τη θεμελιώδη αυτή αρχή είναι η χρήση τέτοιων αποδεικτικών στοιχείων στο πλαίσιο της διαδικασίας κατά του φερόμενου ως</w:t>
            </w:r>
            <w:r w:rsidR="00B21B34">
              <w:rPr>
                <w:lang w:val="el-GR"/>
              </w:rPr>
              <w:t xml:space="preserve"> δράστη των βασανιστηρίων ή κακής </w:t>
            </w:r>
            <w:r w:rsidRPr="00B579C9">
              <w:rPr>
                <w:lang w:val="el-GR"/>
              </w:rPr>
              <w:t xml:space="preserve">μεταχείρισης. Επίσης, </w:t>
            </w:r>
            <w:r w:rsidR="00B21B34">
              <w:rPr>
                <w:lang w:val="el-GR"/>
              </w:rPr>
              <w:t xml:space="preserve">είναι </w:t>
            </w:r>
            <w:r w:rsidRPr="00B579C9">
              <w:rPr>
                <w:lang w:val="el-GR"/>
              </w:rPr>
              <w:t>πολύ σημαντικό</w:t>
            </w:r>
            <w:r w:rsidR="00B21B34">
              <w:rPr>
                <w:lang w:val="el-GR"/>
              </w:rPr>
              <w:t xml:space="preserve"> ότι</w:t>
            </w:r>
            <w:r w:rsidRPr="00B579C9">
              <w:rPr>
                <w:lang w:val="el-GR"/>
              </w:rPr>
              <w:t xml:space="preserve"> το</w:t>
            </w:r>
            <w:r w:rsidR="00B21B34">
              <w:rPr>
                <w:lang w:val="el-GR"/>
              </w:rPr>
              <w:t xml:space="preserve"> θύμα δεν θα πρέπει να φέρει το βάρος</w:t>
            </w:r>
            <w:r w:rsidRPr="00B579C9">
              <w:rPr>
                <w:lang w:val="el-GR"/>
              </w:rPr>
              <w:t>.</w:t>
            </w:r>
          </w:p>
          <w:p w:rsidR="00B21B34" w:rsidRDefault="00B21B34" w:rsidP="00B579C9">
            <w:pPr>
              <w:pStyle w:val="FormatvorlageTextkrperRechts05cm"/>
              <w:rPr>
                <w:lang w:val="el-GR"/>
              </w:rPr>
            </w:pPr>
            <w:r>
              <w:rPr>
                <w:lang w:val="el-GR"/>
              </w:rPr>
              <w:t>Οι δ</w:t>
            </w:r>
            <w:r w:rsidRPr="00B21B34">
              <w:rPr>
                <w:lang w:val="el-GR"/>
              </w:rPr>
              <w:t>ικηγόροι θ</w:t>
            </w:r>
            <w:r>
              <w:rPr>
                <w:lang w:val="el-GR"/>
              </w:rPr>
              <w:t>α πρέπει επίσης να παρατηρούν</w:t>
            </w:r>
            <w:r w:rsidRPr="00B21B34">
              <w:rPr>
                <w:lang w:val="el-GR"/>
              </w:rPr>
              <w:t xml:space="preserve"> ότι η στρατηγική της ασκήσεως της προσφυγής περιλαμβάνει</w:t>
            </w:r>
            <w:r>
              <w:rPr>
                <w:lang w:val="el-GR"/>
              </w:rPr>
              <w:t xml:space="preserve">  από πριν</w:t>
            </w:r>
            <w:r w:rsidRPr="00B21B34">
              <w:rPr>
                <w:lang w:val="el-GR"/>
              </w:rPr>
              <w:t xml:space="preserve"> την υποβολ</w:t>
            </w:r>
            <w:r>
              <w:rPr>
                <w:lang w:val="el-GR"/>
              </w:rPr>
              <w:t xml:space="preserve">ή εξέτασης μιας </w:t>
            </w:r>
            <w:r w:rsidRPr="00B21B34">
              <w:rPr>
                <w:lang w:val="el-GR"/>
              </w:rPr>
              <w:t>υπόθεσης σε διεθνές ή περιφερειακό όργα</w:t>
            </w:r>
            <w:r>
              <w:rPr>
                <w:lang w:val="el-GR"/>
              </w:rPr>
              <w:t>νο ανθρωπίνων δικαιωμάτων ή δικαστήριο</w:t>
            </w:r>
            <w:r w:rsidRPr="00B21B34">
              <w:rPr>
                <w:lang w:val="el-GR"/>
              </w:rPr>
              <w:t>, σε περίπτωση εξάντλησης όλων των σταδίων της προσφυγής σε εθνικό επίπεδο.</w:t>
            </w:r>
          </w:p>
          <w:p w:rsidR="00CE2F5A" w:rsidRDefault="00CE2F5A" w:rsidP="00B579C9">
            <w:pPr>
              <w:pStyle w:val="FormatvorlageTextkrperRechts05cm"/>
              <w:rPr>
                <w:lang w:val="el-GR"/>
              </w:rPr>
            </w:pPr>
          </w:p>
          <w:p w:rsidR="00662056" w:rsidRDefault="00785C46" w:rsidP="00662056">
            <w:pPr>
              <w:pStyle w:val="Heading1"/>
            </w:pPr>
            <w:r>
              <w:t>Επ</w:t>
            </w:r>
            <w:r>
              <w:rPr>
                <w:lang w:val="el-GR"/>
              </w:rPr>
              <w:t>ίλογος</w:t>
            </w:r>
          </w:p>
          <w:p w:rsidR="000A70F9" w:rsidRDefault="000A70F9" w:rsidP="00C44CC7">
            <w:pPr>
              <w:pStyle w:val="FormatvorlageTextkrperRechts05cm"/>
              <w:rPr>
                <w:rFonts w:cs="Calibri"/>
                <w:szCs w:val="22"/>
                <w:lang w:val="el-GR"/>
              </w:rPr>
            </w:pPr>
            <w:r w:rsidRPr="000A70F9">
              <w:rPr>
                <w:rFonts w:cs="Calibri"/>
                <w:szCs w:val="22"/>
                <w:lang w:val="el-GR"/>
              </w:rPr>
              <w:t xml:space="preserve">Οι δικηγόροι είναι βασικοί παράγοντες στην απαγόρευση και την πρόληψη των βασανιστηρίων και της κακής </w:t>
            </w:r>
            <w:r>
              <w:rPr>
                <w:rFonts w:cs="Calibri"/>
                <w:szCs w:val="22"/>
                <w:lang w:val="el-GR"/>
              </w:rPr>
              <w:t>μεταχείρισης. Λόγω των εκπαιδευτικών γνώσεων</w:t>
            </w:r>
            <w:r w:rsidRPr="000A70F9">
              <w:rPr>
                <w:rFonts w:cs="Calibri"/>
                <w:szCs w:val="22"/>
                <w:lang w:val="el-GR"/>
              </w:rPr>
              <w:t xml:space="preserve"> και</w:t>
            </w:r>
            <w:r>
              <w:rPr>
                <w:rFonts w:cs="Calibri"/>
                <w:szCs w:val="22"/>
                <w:lang w:val="el-GR"/>
              </w:rPr>
              <w:t xml:space="preserve"> της</w:t>
            </w:r>
            <w:r w:rsidRPr="000A70F9">
              <w:rPr>
                <w:rFonts w:cs="Calibri"/>
                <w:szCs w:val="22"/>
                <w:lang w:val="el-GR"/>
              </w:rPr>
              <w:t xml:space="preserve"> επαγγελματική</w:t>
            </w:r>
            <w:r>
              <w:rPr>
                <w:rFonts w:cs="Calibri"/>
                <w:szCs w:val="22"/>
                <w:lang w:val="el-GR"/>
              </w:rPr>
              <w:t>ς τους πείρα, οι δικηγόροι έχουν</w:t>
            </w:r>
            <w:r w:rsidRPr="000A70F9">
              <w:rPr>
                <w:rFonts w:cs="Calibri"/>
                <w:szCs w:val="22"/>
                <w:lang w:val="el-GR"/>
              </w:rPr>
              <w:t xml:space="preserve"> ιδιαίτερα </w:t>
            </w:r>
            <w:r>
              <w:rPr>
                <w:rFonts w:cs="Calibri"/>
                <w:szCs w:val="22"/>
                <w:lang w:val="el-GR"/>
              </w:rPr>
              <w:lastRenderedPageBreak/>
              <w:t>προσόντα για να ενθαρρύνουν και να υποστηρίξουν τις κυβερνήσεις να συμπεριλάβουν</w:t>
            </w:r>
            <w:r w:rsidRPr="000A70F9">
              <w:rPr>
                <w:rFonts w:cs="Calibri"/>
                <w:szCs w:val="22"/>
                <w:lang w:val="el-GR"/>
              </w:rPr>
              <w:t xml:space="preserve"> ολοκληρωμένες νομοθετικές διατάξεις στον τομέα της πρόληψης τω</w:t>
            </w:r>
            <w:r>
              <w:rPr>
                <w:rFonts w:cs="Calibri"/>
                <w:szCs w:val="22"/>
                <w:lang w:val="el-GR"/>
              </w:rPr>
              <w:t>ν βασανιστηρίων ή να τροποποιήσουν</w:t>
            </w:r>
            <w:r w:rsidRPr="000A70F9">
              <w:rPr>
                <w:rFonts w:cs="Calibri"/>
                <w:szCs w:val="22"/>
                <w:lang w:val="el-GR"/>
              </w:rPr>
              <w:t xml:space="preserve"> και να βελτιώσ</w:t>
            </w:r>
            <w:r>
              <w:rPr>
                <w:rFonts w:cs="Calibri"/>
                <w:szCs w:val="22"/>
                <w:lang w:val="el-GR"/>
              </w:rPr>
              <w:t>ουν</w:t>
            </w:r>
            <w:r w:rsidRPr="000A70F9">
              <w:rPr>
                <w:rFonts w:cs="Calibri"/>
                <w:szCs w:val="22"/>
                <w:lang w:val="el-GR"/>
              </w:rPr>
              <w:t xml:space="preserve"> το υφιστάμενο νομικό πλαίσιο.</w:t>
            </w:r>
          </w:p>
          <w:p w:rsidR="000A70F9" w:rsidRDefault="000A70F9" w:rsidP="00C44CC7">
            <w:pPr>
              <w:pStyle w:val="FormatvorlageTextkrperRechts05cm"/>
              <w:rPr>
                <w:rFonts w:cs="Calibri"/>
                <w:szCs w:val="22"/>
                <w:lang w:val="el-GR"/>
              </w:rPr>
            </w:pPr>
            <w:r w:rsidRPr="000A70F9">
              <w:rPr>
                <w:rFonts w:cs="Calibri"/>
                <w:szCs w:val="22"/>
                <w:lang w:val="el-GR"/>
              </w:rPr>
              <w:t>Η προνομιακή πρόσβαση στους κρατουμένους σε όλα τα στάδια της στέρησης της ελευθερίας από επαγγελματίες του νομικού κλάδου είναι ζωτικής σημασίας για την προστασία από πιθανές πράξεις</w:t>
            </w:r>
            <w:r>
              <w:rPr>
                <w:rFonts w:cs="Calibri"/>
                <w:szCs w:val="22"/>
                <w:lang w:val="el-GR"/>
              </w:rPr>
              <w:t xml:space="preserve">  βασανιστηρίων και κακής </w:t>
            </w:r>
            <w:r w:rsidRPr="000A70F9">
              <w:rPr>
                <w:rFonts w:cs="Calibri"/>
                <w:szCs w:val="22"/>
                <w:lang w:val="el-GR"/>
              </w:rPr>
              <w:t xml:space="preserve">μεταχείρισης και επιτρέπει στους κρατούμενους να αυξήσουν εμπιστευτικά </w:t>
            </w:r>
            <w:r>
              <w:rPr>
                <w:rFonts w:cs="Calibri"/>
                <w:szCs w:val="22"/>
                <w:lang w:val="el-GR"/>
              </w:rPr>
              <w:t xml:space="preserve">τις </w:t>
            </w:r>
            <w:r w:rsidRPr="000A70F9">
              <w:rPr>
                <w:rFonts w:cs="Calibri"/>
                <w:szCs w:val="22"/>
                <w:lang w:val="el-GR"/>
              </w:rPr>
              <w:t xml:space="preserve">καταγγελίες για βασανιστήρια, και ως εκ τούτου, </w:t>
            </w:r>
            <w:r>
              <w:rPr>
                <w:rFonts w:cs="Calibri"/>
                <w:szCs w:val="22"/>
                <w:lang w:val="el-GR"/>
              </w:rPr>
              <w:t xml:space="preserve"> να μειώσουν</w:t>
            </w:r>
            <w:r w:rsidRPr="000A70F9">
              <w:rPr>
                <w:rFonts w:cs="Calibri"/>
                <w:szCs w:val="22"/>
                <w:lang w:val="el-GR"/>
              </w:rPr>
              <w:t xml:space="preserve"> τον κίνδυνο των πιθανών αντιποίνων . Η γειτνίαση με κρατούμενους διευκολύνει επίσης την έρευνα και τεκμηρίωσ</w:t>
            </w:r>
            <w:r>
              <w:rPr>
                <w:rFonts w:cs="Calibri"/>
                <w:szCs w:val="22"/>
                <w:lang w:val="el-GR"/>
              </w:rPr>
              <w:t xml:space="preserve">η των βασανιστηρίων και της κακής </w:t>
            </w:r>
            <w:r w:rsidRPr="000A70F9">
              <w:rPr>
                <w:rFonts w:cs="Calibri"/>
                <w:szCs w:val="22"/>
                <w:lang w:val="el-GR"/>
              </w:rPr>
              <w:t>μεταχείρισης, η οποία είναι ζωτικής σημασίας κατά τη διάρκεια της δικαστικής διαδικασίας.</w:t>
            </w:r>
          </w:p>
          <w:p w:rsidR="000A70F9" w:rsidRDefault="000A70F9" w:rsidP="00C44CC7">
            <w:pPr>
              <w:pStyle w:val="FormatvorlageTextkrperRechts05cm"/>
              <w:rPr>
                <w:rFonts w:cs="Calibri"/>
                <w:szCs w:val="22"/>
                <w:lang w:val="el-GR"/>
              </w:rPr>
            </w:pPr>
            <w:r w:rsidRPr="000A70F9">
              <w:rPr>
                <w:rFonts w:cs="Calibri"/>
                <w:szCs w:val="22"/>
                <w:lang w:val="el-GR"/>
              </w:rPr>
              <w:t xml:space="preserve">Επιπλέον, οι δικηγόροι είναι θεμελιώδους σημασίας για την παροχή βοήθειας στα θύματα των βασανιστηρίων </w:t>
            </w:r>
            <w:r>
              <w:rPr>
                <w:rFonts w:cs="Calibri"/>
                <w:szCs w:val="22"/>
                <w:lang w:val="el-GR"/>
              </w:rPr>
              <w:t>για την διεκδίκηση των δικαιωμάτων τους</w:t>
            </w:r>
            <w:r w:rsidRPr="000A70F9">
              <w:rPr>
                <w:rFonts w:cs="Calibri"/>
                <w:szCs w:val="22"/>
                <w:lang w:val="el-GR"/>
              </w:rPr>
              <w:t xml:space="preserve"> και </w:t>
            </w:r>
            <w:r>
              <w:rPr>
                <w:rFonts w:cs="Calibri"/>
                <w:szCs w:val="22"/>
                <w:lang w:val="el-GR"/>
              </w:rPr>
              <w:t>την απόκτηση</w:t>
            </w:r>
            <w:r w:rsidRPr="000A70F9">
              <w:rPr>
                <w:rFonts w:cs="Calibri"/>
                <w:szCs w:val="22"/>
                <w:lang w:val="el-GR"/>
              </w:rPr>
              <w:t xml:space="preserve"> επαρκ</w:t>
            </w:r>
            <w:r>
              <w:rPr>
                <w:rFonts w:cs="Calibri"/>
                <w:szCs w:val="22"/>
                <w:lang w:val="el-GR"/>
              </w:rPr>
              <w:t>ούς</w:t>
            </w:r>
            <w:r w:rsidRPr="000A70F9">
              <w:rPr>
                <w:rFonts w:cs="Calibri"/>
                <w:szCs w:val="22"/>
                <w:lang w:val="el-GR"/>
              </w:rPr>
              <w:t xml:space="preserve"> </w:t>
            </w:r>
            <w:r>
              <w:rPr>
                <w:rFonts w:cs="Calibri"/>
                <w:szCs w:val="22"/>
                <w:lang w:val="el-GR"/>
              </w:rPr>
              <w:t>επανόρθωσης</w:t>
            </w:r>
            <w:r w:rsidRPr="000A70F9">
              <w:rPr>
                <w:rFonts w:cs="Calibri"/>
                <w:szCs w:val="22"/>
                <w:lang w:val="el-GR"/>
              </w:rPr>
              <w:t xml:space="preserve"> συμπεριλαμβανομένης της </w:t>
            </w:r>
            <w:r>
              <w:rPr>
                <w:rFonts w:cs="Calibri"/>
                <w:szCs w:val="22"/>
                <w:lang w:val="el-GR"/>
              </w:rPr>
              <w:t>αποκατάστασης και αποζημίωσης. Οι ν</w:t>
            </w:r>
            <w:r w:rsidRPr="000A70F9">
              <w:rPr>
                <w:rFonts w:cs="Calibri"/>
                <w:szCs w:val="22"/>
                <w:lang w:val="el-GR"/>
              </w:rPr>
              <w:t>ομικ</w:t>
            </w:r>
            <w:r>
              <w:rPr>
                <w:rFonts w:cs="Calibri"/>
                <w:szCs w:val="22"/>
                <w:lang w:val="el-GR"/>
              </w:rPr>
              <w:t>οί</w:t>
            </w:r>
            <w:r w:rsidRPr="000A70F9">
              <w:rPr>
                <w:rFonts w:cs="Calibri"/>
                <w:szCs w:val="22"/>
                <w:lang w:val="el-GR"/>
              </w:rPr>
              <w:t xml:space="preserve"> επαγγελματίες μπορούν να συμβάλλουν σημαντικά στην πρόληψη των βασανιστηρίων ως μέλη των διεπιστημονικών οργανισμών ελέγχου που επισκέπτονται τακ</w:t>
            </w:r>
            <w:r>
              <w:rPr>
                <w:rFonts w:cs="Calibri"/>
                <w:szCs w:val="22"/>
                <w:lang w:val="el-GR"/>
              </w:rPr>
              <w:t>τικά χώρους στέρησης της ελευθερίας</w:t>
            </w:r>
            <w:r w:rsidRPr="000A70F9">
              <w:rPr>
                <w:rFonts w:cs="Calibri"/>
                <w:szCs w:val="22"/>
                <w:lang w:val="el-GR"/>
              </w:rPr>
              <w:t>.</w:t>
            </w:r>
            <w:r>
              <w:rPr>
                <w:rFonts w:cs="Calibri"/>
                <w:szCs w:val="22"/>
                <w:lang w:val="el-GR"/>
              </w:rPr>
              <w:t xml:space="preserve"> Τέλος</w:t>
            </w:r>
            <w:r w:rsidRPr="000A70F9">
              <w:rPr>
                <w:rFonts w:cs="Calibri"/>
                <w:szCs w:val="22"/>
                <w:lang w:val="el-GR"/>
              </w:rPr>
              <w:t xml:space="preserve">, </w:t>
            </w:r>
            <w:r>
              <w:rPr>
                <w:rFonts w:cs="Calibri"/>
                <w:szCs w:val="22"/>
                <w:lang w:val="el-GR"/>
              </w:rPr>
              <w:t xml:space="preserve">οι </w:t>
            </w:r>
            <w:r w:rsidRPr="000A70F9">
              <w:rPr>
                <w:rFonts w:cs="Calibri"/>
                <w:szCs w:val="22"/>
                <w:lang w:val="el-GR"/>
              </w:rPr>
              <w:t xml:space="preserve">δικηγόροι κατέχουν ένα σημαντικό ρόλο στην ενίσχυση της ικανότητας των αρχών, των θεσμών και </w:t>
            </w:r>
            <w:r>
              <w:rPr>
                <w:rFonts w:cs="Calibri"/>
                <w:szCs w:val="22"/>
                <w:lang w:val="el-GR"/>
              </w:rPr>
              <w:t>της κοινωνίας των πολιτών μέσω εκστρατειών</w:t>
            </w:r>
            <w:r w:rsidRPr="000A70F9">
              <w:rPr>
                <w:rFonts w:cs="Calibri"/>
                <w:szCs w:val="22"/>
                <w:lang w:val="el-GR"/>
              </w:rPr>
              <w:t xml:space="preserve"> ευαισθητοποίησης, εκπαιδευτικ</w:t>
            </w:r>
            <w:r>
              <w:rPr>
                <w:rFonts w:cs="Calibri"/>
                <w:szCs w:val="22"/>
                <w:lang w:val="el-GR"/>
              </w:rPr>
              <w:t>ών</w:t>
            </w:r>
            <w:r w:rsidRPr="000A70F9">
              <w:rPr>
                <w:rFonts w:cs="Calibri"/>
                <w:szCs w:val="22"/>
                <w:lang w:val="el-GR"/>
              </w:rPr>
              <w:t xml:space="preserve"> προγραμμάτ</w:t>
            </w:r>
            <w:r>
              <w:rPr>
                <w:rFonts w:cs="Calibri"/>
                <w:szCs w:val="22"/>
                <w:lang w:val="el-GR"/>
              </w:rPr>
              <w:t>ων</w:t>
            </w:r>
            <w:r w:rsidRPr="000A70F9">
              <w:rPr>
                <w:rFonts w:cs="Calibri"/>
                <w:szCs w:val="22"/>
                <w:lang w:val="el-GR"/>
              </w:rPr>
              <w:t xml:space="preserve"> για τις μη κυβερνη</w:t>
            </w:r>
            <w:r>
              <w:rPr>
                <w:rFonts w:cs="Calibri"/>
                <w:szCs w:val="22"/>
                <w:lang w:val="el-GR"/>
              </w:rPr>
              <w:t>τικές οργανώσεις (ΜΚΟ), δικαστών</w:t>
            </w:r>
            <w:r w:rsidRPr="000A70F9">
              <w:rPr>
                <w:rFonts w:cs="Calibri"/>
                <w:szCs w:val="22"/>
                <w:lang w:val="el-GR"/>
              </w:rPr>
              <w:t xml:space="preserve"> και </w:t>
            </w:r>
            <w:r>
              <w:rPr>
                <w:rFonts w:cs="Calibri"/>
                <w:szCs w:val="22"/>
                <w:lang w:val="el-GR"/>
              </w:rPr>
              <w:t>άλλων δημοσίων υπαλλήλων</w:t>
            </w:r>
            <w:r w:rsidRPr="000A70F9">
              <w:rPr>
                <w:rFonts w:cs="Calibri"/>
                <w:szCs w:val="22"/>
                <w:lang w:val="el-GR"/>
              </w:rPr>
              <w:t>, και τη</w:t>
            </w:r>
            <w:r>
              <w:rPr>
                <w:rFonts w:cs="Calibri"/>
                <w:szCs w:val="22"/>
                <w:lang w:val="el-GR"/>
              </w:rPr>
              <w:t>ς</w:t>
            </w:r>
            <w:r w:rsidRPr="000A70F9">
              <w:rPr>
                <w:rFonts w:cs="Calibri"/>
                <w:szCs w:val="22"/>
                <w:lang w:val="el-GR"/>
              </w:rPr>
              <w:t xml:space="preserve"> δημιουργία συνεργιών με τους αρμόδιους φορείς στον τομέα της πρόληψης των βασανιστηρίων.</w:t>
            </w:r>
          </w:p>
          <w:p w:rsidR="000A70F9" w:rsidRDefault="000A70F9" w:rsidP="00C44CC7">
            <w:pPr>
              <w:pStyle w:val="FormatvorlageTextkrperRechts05cm"/>
              <w:rPr>
                <w:rFonts w:cs="Calibri"/>
                <w:szCs w:val="22"/>
                <w:lang w:val="el-GR"/>
              </w:rPr>
            </w:pPr>
            <w:r w:rsidRPr="000A70F9">
              <w:rPr>
                <w:rFonts w:cs="Calibri"/>
                <w:szCs w:val="22"/>
                <w:lang w:val="el-GR"/>
              </w:rPr>
              <w:t>Ως εκ τούτου, είναι σημαντικό να ενι</w:t>
            </w:r>
            <w:r>
              <w:rPr>
                <w:rFonts w:cs="Calibri"/>
                <w:szCs w:val="22"/>
                <w:lang w:val="el-GR"/>
              </w:rPr>
              <w:t>σχυθεί η γνώση του δικηγόρου και η</w:t>
            </w:r>
            <w:r w:rsidRPr="000A70F9">
              <w:rPr>
                <w:rFonts w:cs="Calibri"/>
                <w:szCs w:val="22"/>
                <w:lang w:val="el-GR"/>
              </w:rPr>
              <w:t xml:space="preserve"> δέσμευση για την πρόληψη των βασανιστηρίων και της κακής μεταχείρισης και την προώθηση επαγγελματικών δικτύων, ώστ</w:t>
            </w:r>
            <w:r>
              <w:rPr>
                <w:rFonts w:cs="Calibri"/>
                <w:szCs w:val="22"/>
                <w:lang w:val="el-GR"/>
              </w:rPr>
              <w:t>ε να μπορούν να ασκούν πλήρως τον βασικό</w:t>
            </w:r>
            <w:r w:rsidRPr="000A70F9">
              <w:rPr>
                <w:rFonts w:cs="Calibri"/>
                <w:szCs w:val="22"/>
                <w:lang w:val="el-GR"/>
              </w:rPr>
              <w:t xml:space="preserve"> προληπτικ</w:t>
            </w:r>
            <w:r>
              <w:rPr>
                <w:rFonts w:cs="Calibri"/>
                <w:szCs w:val="22"/>
                <w:lang w:val="el-GR"/>
              </w:rPr>
              <w:t>ό και προστατευτικό</w:t>
            </w:r>
            <w:r w:rsidRPr="000A70F9">
              <w:rPr>
                <w:rFonts w:cs="Calibri"/>
                <w:szCs w:val="22"/>
                <w:lang w:val="el-GR"/>
              </w:rPr>
              <w:t xml:space="preserve"> ρόλο τους.</w:t>
            </w:r>
          </w:p>
          <w:p w:rsidR="00FF390C" w:rsidRPr="00F86E76" w:rsidRDefault="00FF390C" w:rsidP="00C44CC7">
            <w:pPr>
              <w:pStyle w:val="FormatvorlageTextkrperRechts05cm"/>
              <w:rPr>
                <w:rFonts w:cs="Calibri"/>
                <w:szCs w:val="22"/>
                <w:lang w:val="el-GR"/>
              </w:rPr>
            </w:pPr>
          </w:p>
          <w:p w:rsidR="0016509B" w:rsidRPr="00514AFC" w:rsidRDefault="00785C46" w:rsidP="0016509B">
            <w:pPr>
              <w:pStyle w:val="Heading1"/>
            </w:pPr>
            <w:r w:rsidRPr="00F86E76">
              <w:rPr>
                <w:lang w:val="el-GR"/>
              </w:rPr>
              <w:t xml:space="preserve"> </w:t>
            </w:r>
            <w:r>
              <w:rPr>
                <w:lang w:val="el-GR"/>
              </w:rPr>
              <w:t>Βιβλιογραφία</w:t>
            </w:r>
          </w:p>
          <w:p w:rsidR="0016509B" w:rsidRDefault="0016509B" w:rsidP="00FF390C">
            <w:pPr>
              <w:pStyle w:val="FormatvorlageTextkrperRechts05cm"/>
              <w:numPr>
                <w:ilvl w:val="0"/>
                <w:numId w:val="52"/>
              </w:numPr>
              <w:rPr>
                <w:rFonts w:cs="Calibri"/>
                <w:szCs w:val="22"/>
                <w:lang w:val="en-GB"/>
              </w:rPr>
            </w:pPr>
            <w:r w:rsidRPr="00FF390C">
              <w:rPr>
                <w:rFonts w:cs="Calibri"/>
                <w:i/>
                <w:szCs w:val="22"/>
                <w:lang w:val="en-GB"/>
              </w:rPr>
              <w:t>The role of lawyers in the prevention of torture</w:t>
            </w:r>
            <w:r>
              <w:rPr>
                <w:rFonts w:cs="Calibri"/>
                <w:szCs w:val="22"/>
                <w:lang w:val="en-GB"/>
              </w:rPr>
              <w:t>, APT, 2008</w:t>
            </w:r>
          </w:p>
          <w:p w:rsidR="0016509B" w:rsidRDefault="0016509B" w:rsidP="00FF390C">
            <w:pPr>
              <w:pStyle w:val="FormatvorlageTextkrperRechts05cm"/>
              <w:numPr>
                <w:ilvl w:val="0"/>
                <w:numId w:val="52"/>
              </w:numPr>
              <w:rPr>
                <w:rFonts w:cs="Calibri"/>
                <w:szCs w:val="22"/>
                <w:lang w:val="en-GB"/>
              </w:rPr>
            </w:pPr>
            <w:r w:rsidRPr="00FF390C">
              <w:rPr>
                <w:rFonts w:cs="Calibri"/>
                <w:i/>
                <w:szCs w:val="22"/>
                <w:lang w:val="en-GB"/>
              </w:rPr>
              <w:t>Action against torture: A practical guide to the Istanbul Protocol – for lawyers</w:t>
            </w:r>
            <w:r>
              <w:rPr>
                <w:rFonts w:cs="Calibri"/>
                <w:szCs w:val="22"/>
                <w:lang w:val="en-GB"/>
              </w:rPr>
              <w:t>, IRCT, 2009</w:t>
            </w:r>
          </w:p>
          <w:p w:rsidR="0016509B" w:rsidRDefault="0016509B" w:rsidP="00FF390C">
            <w:pPr>
              <w:pStyle w:val="FormatvorlageTextkrperRechts05cm"/>
              <w:numPr>
                <w:ilvl w:val="0"/>
                <w:numId w:val="52"/>
              </w:numPr>
              <w:rPr>
                <w:rFonts w:cs="Calibri"/>
                <w:szCs w:val="22"/>
                <w:lang w:val="en-GB"/>
              </w:rPr>
            </w:pPr>
            <w:r w:rsidRPr="00FF390C">
              <w:rPr>
                <w:rFonts w:cs="Calibri"/>
                <w:i/>
                <w:szCs w:val="22"/>
                <w:lang w:val="en-GB"/>
              </w:rPr>
              <w:t>Preventing Torture: An Operational Guide for National Human Rights Institutions</w:t>
            </w:r>
            <w:r>
              <w:rPr>
                <w:rFonts w:cs="Calibri"/>
                <w:szCs w:val="22"/>
                <w:lang w:val="en-GB"/>
              </w:rPr>
              <w:t>, APT, OHCHR, APF, 2010</w:t>
            </w:r>
          </w:p>
          <w:p w:rsidR="0016509B" w:rsidRPr="00FF390C" w:rsidRDefault="0016509B" w:rsidP="00FF390C">
            <w:pPr>
              <w:pStyle w:val="FormatvorlageTextkrperRechts05cm"/>
              <w:numPr>
                <w:ilvl w:val="0"/>
                <w:numId w:val="52"/>
              </w:numPr>
              <w:rPr>
                <w:rFonts w:cs="Calibri"/>
                <w:szCs w:val="22"/>
                <w:lang w:val="en-GB"/>
              </w:rPr>
            </w:pPr>
            <w:r w:rsidRPr="006F4D58">
              <w:rPr>
                <w:i/>
                <w:lang w:val="en-US"/>
              </w:rPr>
              <w:t>Pretrial Detainees and Torture: Why Pretrial Detainees Face the Greatest Risk</w:t>
            </w:r>
            <w:r>
              <w:rPr>
                <w:lang w:val="en-US"/>
              </w:rPr>
              <w:t>, Open Society Foundations, Ludwig Boltzmann Institute of Human Rights, University of Bristol, 2011</w:t>
            </w:r>
          </w:p>
          <w:p w:rsidR="0016509B" w:rsidRPr="00FF390C" w:rsidRDefault="002316E4" w:rsidP="00FF390C">
            <w:pPr>
              <w:pStyle w:val="FormatvorlageTextkrperRechts05cm"/>
              <w:numPr>
                <w:ilvl w:val="0"/>
                <w:numId w:val="52"/>
              </w:numPr>
              <w:rPr>
                <w:rFonts w:cs="Calibri"/>
                <w:szCs w:val="22"/>
                <w:lang w:val="en-GB"/>
              </w:rPr>
            </w:pPr>
            <w:r w:rsidRPr="002316E4">
              <w:rPr>
                <w:i/>
                <w:lang w:val="en-US"/>
              </w:rPr>
              <w:lastRenderedPageBreak/>
              <w:t>General Comment No. 3 on the implementation of Article 14 UNCAT,</w:t>
            </w:r>
            <w:r>
              <w:rPr>
                <w:lang w:val="en-US"/>
              </w:rPr>
              <w:t>UN Docs, UN</w:t>
            </w:r>
            <w:r w:rsidR="0016509B" w:rsidRPr="00FF390C">
              <w:rPr>
                <w:lang w:val="en-US"/>
              </w:rPr>
              <w:t xml:space="preserve"> Committee</w:t>
            </w:r>
            <w:r>
              <w:rPr>
                <w:lang w:val="en-US"/>
              </w:rPr>
              <w:t xml:space="preserve"> Against Torture</w:t>
            </w:r>
            <w:r w:rsidR="0016509B" w:rsidRPr="00FF390C">
              <w:rPr>
                <w:lang w:val="en-US"/>
              </w:rPr>
              <w:t xml:space="preserve">, </w:t>
            </w:r>
            <w:r>
              <w:rPr>
                <w:lang w:val="en-US"/>
              </w:rPr>
              <w:t>CAT/C/GC/3, 2012</w:t>
            </w:r>
          </w:p>
          <w:p w:rsidR="0016509B" w:rsidRPr="00FF390C" w:rsidRDefault="0016509B" w:rsidP="00FF390C">
            <w:pPr>
              <w:pStyle w:val="FormatvorlageTextkrperRechts05cm"/>
              <w:numPr>
                <w:ilvl w:val="0"/>
                <w:numId w:val="52"/>
              </w:numPr>
              <w:rPr>
                <w:i/>
                <w:lang w:val="en-US"/>
              </w:rPr>
            </w:pPr>
            <w:r w:rsidRPr="00FF390C">
              <w:rPr>
                <w:i/>
                <w:lang w:val="en-US"/>
              </w:rPr>
              <w:t>The Role of Independent Monitoring in Prevention of Torture and Other Cruel, Inhuman or Degrading Treatment or Punishment</w:t>
            </w:r>
            <w:r>
              <w:rPr>
                <w:lang w:val="en-US"/>
              </w:rPr>
              <w:t>, Penal Reform International, 2010</w:t>
            </w:r>
          </w:p>
          <w:p w:rsidR="000F64AE" w:rsidRPr="00F42A5D" w:rsidRDefault="000F64AE" w:rsidP="00F54D6C">
            <w:pPr>
              <w:pStyle w:val="FormatvorlageTextkrperRechts05cm"/>
              <w:rPr>
                <w:shd w:val="clear" w:color="auto" w:fill="FFFFFF"/>
                <w:lang w:val="en-GB"/>
              </w:rPr>
            </w:pPr>
          </w:p>
        </w:tc>
        <w:tc>
          <w:tcPr>
            <w:tcW w:w="2552" w:type="dxa"/>
            <w:tcMar>
              <w:left w:w="170" w:type="dxa"/>
            </w:tcMar>
          </w:tcPr>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Default="000F64AE" w:rsidP="00F54D6C">
            <w:pPr>
              <w:pStyle w:val="FormatvorlageTextkrperRechts05cm"/>
              <w:rPr>
                <w:lang w:val="en-US"/>
              </w:rPr>
            </w:pPr>
          </w:p>
          <w:p w:rsidR="000F64AE" w:rsidRPr="00E73141" w:rsidRDefault="000F64AE" w:rsidP="00C44CC7">
            <w:pPr>
              <w:pStyle w:val="Didacticremark"/>
              <w:numPr>
                <w:ilvl w:val="0"/>
                <w:numId w:val="0"/>
              </w:numPr>
            </w:pPr>
          </w:p>
        </w:tc>
      </w:tr>
      <w:tr w:rsidR="00FF390C" w:rsidRPr="00F86E76" w:rsidTr="00F54D6C">
        <w:tc>
          <w:tcPr>
            <w:tcW w:w="7337" w:type="dxa"/>
          </w:tcPr>
          <w:p w:rsidR="00FF390C" w:rsidRPr="00C44CC7" w:rsidRDefault="00FF390C" w:rsidP="00C44CC7">
            <w:pPr>
              <w:pStyle w:val="FormatvorlageTextkrperRechts05cm"/>
              <w:rPr>
                <w:lang w:val="en-GB"/>
              </w:rPr>
            </w:pPr>
          </w:p>
        </w:tc>
        <w:tc>
          <w:tcPr>
            <w:tcW w:w="2552" w:type="dxa"/>
            <w:tcMar>
              <w:left w:w="170" w:type="dxa"/>
            </w:tcMar>
          </w:tcPr>
          <w:p w:rsidR="00FF390C" w:rsidRDefault="00FF390C" w:rsidP="00F54D6C">
            <w:pPr>
              <w:pStyle w:val="FormatvorlageTextkrperRechts05cm"/>
              <w:rPr>
                <w:lang w:val="en-US"/>
              </w:rPr>
            </w:pPr>
          </w:p>
        </w:tc>
      </w:tr>
    </w:tbl>
    <w:p w:rsidR="001D7B9B" w:rsidRPr="00357C68" w:rsidRDefault="001D7B9B" w:rsidP="00156CDF">
      <w:pPr>
        <w:rPr>
          <w:b/>
          <w:sz w:val="30"/>
          <w:szCs w:val="30"/>
          <w:lang w:val="en-GB"/>
        </w:rPr>
      </w:pPr>
    </w:p>
    <w:sectPr w:rsidR="001D7B9B" w:rsidRPr="00357C68" w:rsidSect="002316E4">
      <w:pgSz w:w="11906" w:h="16838"/>
      <w:pgMar w:top="1417" w:right="1417" w:bottom="1134" w:left="1417"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25" w:rsidRDefault="00EF0E25" w:rsidP="001D791F">
      <w:pPr>
        <w:spacing w:before="0" w:after="0" w:line="240" w:lineRule="auto"/>
      </w:pPr>
      <w:r>
        <w:separator/>
      </w:r>
    </w:p>
  </w:endnote>
  <w:endnote w:type="continuationSeparator" w:id="0">
    <w:p w:rsidR="00EF0E25" w:rsidRDefault="00EF0E25" w:rsidP="001D79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33" w:rsidRPr="00573288" w:rsidRDefault="003C1833" w:rsidP="00F54D6C">
    <w:pPr>
      <w:pStyle w:val="Footer"/>
      <w:jc w:val="center"/>
      <w:rPr>
        <w:szCs w:val="20"/>
        <w:lang w:val="en-US"/>
      </w:rPr>
    </w:pPr>
    <w:r>
      <w:rPr>
        <w:szCs w:val="20"/>
        <w:lang w:val="en-US"/>
      </w:rPr>
      <w:t>page</w:t>
    </w:r>
    <w:r w:rsidRPr="00CE74BC">
      <w:rPr>
        <w:rStyle w:val="PageNumber"/>
        <w:szCs w:val="20"/>
      </w:rPr>
      <w:fldChar w:fldCharType="begin"/>
    </w:r>
    <w:r w:rsidRPr="00CE74BC">
      <w:rPr>
        <w:rStyle w:val="PageNumber"/>
        <w:szCs w:val="20"/>
      </w:rPr>
      <w:instrText xml:space="preserve"> PAGE </w:instrText>
    </w:r>
    <w:r w:rsidRPr="00CE74BC">
      <w:rPr>
        <w:rStyle w:val="PageNumber"/>
        <w:szCs w:val="20"/>
      </w:rPr>
      <w:fldChar w:fldCharType="separate"/>
    </w:r>
    <w:r>
      <w:rPr>
        <w:rStyle w:val="PageNumber"/>
        <w:noProof/>
        <w:szCs w:val="20"/>
      </w:rPr>
      <w:t>8</w:t>
    </w:r>
    <w:r w:rsidRPr="00CE74BC">
      <w:rPr>
        <w:rStyle w:val="PageNumber"/>
        <w:szCs w:val="20"/>
      </w:rPr>
      <w:fldChar w:fldCharType="end"/>
    </w:r>
    <w:r>
      <w:rPr>
        <w:rStyle w:val="PageNumber"/>
        <w:szCs w:val="20"/>
        <w:lang w:val="en-US"/>
      </w:rPr>
      <w:t>/</w:t>
    </w:r>
    <w:r w:rsidRPr="00CE74BC">
      <w:rPr>
        <w:rStyle w:val="PageNumber"/>
        <w:szCs w:val="20"/>
      </w:rPr>
      <w:fldChar w:fldCharType="begin"/>
    </w:r>
    <w:r w:rsidRPr="00CE74BC">
      <w:rPr>
        <w:rStyle w:val="PageNumber"/>
        <w:szCs w:val="20"/>
      </w:rPr>
      <w:instrText xml:space="preserve"> NUMPAGES </w:instrText>
    </w:r>
    <w:r w:rsidRPr="00CE74BC">
      <w:rPr>
        <w:rStyle w:val="PageNumber"/>
        <w:szCs w:val="20"/>
      </w:rPr>
      <w:fldChar w:fldCharType="separate"/>
    </w:r>
    <w:r w:rsidR="002E2529">
      <w:rPr>
        <w:rStyle w:val="PageNumber"/>
        <w:noProof/>
        <w:szCs w:val="20"/>
      </w:rPr>
      <w:t>17</w:t>
    </w:r>
    <w:r w:rsidRPr="00CE74BC">
      <w:rPr>
        <w:rStyle w:val="PageNumber"/>
        <w:szCs w:val="20"/>
      </w:rPr>
      <w:fldChar w:fldCharType="end"/>
    </w:r>
  </w:p>
  <w:p w:rsidR="003C1833" w:rsidRDefault="003C1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833" w:rsidRPr="001F336C" w:rsidRDefault="003C1833" w:rsidP="00F54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25" w:rsidRDefault="00EF0E25" w:rsidP="001D791F">
      <w:pPr>
        <w:spacing w:before="0" w:after="0" w:line="240" w:lineRule="auto"/>
      </w:pPr>
      <w:r>
        <w:separator/>
      </w:r>
    </w:p>
  </w:footnote>
  <w:footnote w:type="continuationSeparator" w:id="0">
    <w:p w:rsidR="00EF0E25" w:rsidRDefault="00EF0E25" w:rsidP="001D791F">
      <w:pPr>
        <w:spacing w:before="0" w:after="0" w:line="240" w:lineRule="auto"/>
      </w:pPr>
      <w:r>
        <w:continuationSeparator/>
      </w:r>
    </w:p>
  </w:footnote>
  <w:footnote w:id="1">
    <w:p w:rsidR="00EA54E8" w:rsidRPr="00F86E76" w:rsidRDefault="00EA54E8" w:rsidP="00EA54E8">
      <w:pPr>
        <w:pStyle w:val="FootnoteText"/>
      </w:pPr>
      <w:r>
        <w:rPr>
          <w:rStyle w:val="FootnoteReference"/>
        </w:rPr>
        <w:footnoteRef/>
      </w:r>
      <w:r w:rsidRPr="00A509FC">
        <w:rPr>
          <w:rFonts w:cs="Calibri"/>
          <w:lang w:val="es-ES" w:eastAsia="de-DE"/>
        </w:rPr>
        <w:t xml:space="preserve">E/CN.4/2003/68, 17 </w:t>
      </w:r>
      <w:r w:rsidR="00677C5A">
        <w:rPr>
          <w:rFonts w:cs="Calibri"/>
          <w:lang w:eastAsia="de-DE"/>
        </w:rPr>
        <w:t>Δεκεμβρίου</w:t>
      </w:r>
      <w:r w:rsidRPr="00A509FC">
        <w:rPr>
          <w:rFonts w:cs="Calibri"/>
          <w:lang w:val="es-ES" w:eastAsia="de-DE"/>
        </w:rPr>
        <w:t xml:space="preserve"> 2002, </w:t>
      </w:r>
      <w:r w:rsidR="00677C5A">
        <w:rPr>
          <w:rFonts w:cs="Calibri"/>
          <w:lang w:eastAsia="de-DE"/>
        </w:rPr>
        <w:t>παρά</w:t>
      </w:r>
      <w:r w:rsidRPr="00A509FC">
        <w:rPr>
          <w:rFonts w:cs="Calibri"/>
          <w:lang w:val="es-ES" w:eastAsia="de-DE"/>
        </w:rPr>
        <w:t xml:space="preserve">. 26. lit. </w:t>
      </w:r>
      <w:r w:rsidRPr="00F86E76">
        <w:rPr>
          <w:rFonts w:cs="Calibri"/>
          <w:lang w:eastAsia="de-DE"/>
        </w:rPr>
        <w:t>(</w:t>
      </w:r>
      <w:r w:rsidRPr="00FD13E1">
        <w:rPr>
          <w:rFonts w:cs="Calibri"/>
          <w:lang w:val="en-US" w:eastAsia="de-DE"/>
        </w:rPr>
        <w:t>f</w:t>
      </w:r>
      <w:r w:rsidRPr="00F86E76">
        <w:rPr>
          <w:rFonts w:cs="Calibri"/>
          <w:lang w:eastAsia="de-DE"/>
        </w:rPr>
        <w:t>)</w:t>
      </w:r>
    </w:p>
  </w:footnote>
  <w:footnote w:id="2">
    <w:p w:rsidR="00677C5A" w:rsidRPr="00677C5A" w:rsidRDefault="00677C5A" w:rsidP="00677C5A">
      <w:pPr>
        <w:pStyle w:val="FootnoteText"/>
      </w:pPr>
      <w:r>
        <w:rPr>
          <w:rStyle w:val="FootnoteReference"/>
        </w:rPr>
        <w:footnoteRef/>
      </w:r>
      <w:r>
        <w:t>Βλ. άρθρο</w:t>
      </w:r>
      <w:r w:rsidRPr="00677C5A">
        <w:t xml:space="preserve"> 4, </w:t>
      </w:r>
      <w:r>
        <w:t>παρά</w:t>
      </w:r>
      <w:r w:rsidRPr="00677C5A">
        <w:t xml:space="preserve">. 2 </w:t>
      </w:r>
      <w:r>
        <w:t>Προαιρετικό Πρωτόκολλο στην Σύμβαση κατά Βασανιστηρίων</w:t>
      </w:r>
      <w:r w:rsidRPr="00677C5A">
        <w:t xml:space="preserve"> (</w:t>
      </w:r>
      <w:r>
        <w:rPr>
          <w:lang w:val="en-GB"/>
        </w:rPr>
        <w:t>OPCAT</w:t>
      </w:r>
      <w:r w:rsidRPr="00677C5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B6E9F80"/>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4941CF6"/>
    <w:lvl w:ilvl="0">
      <w:start w:val="1"/>
      <w:numFmt w:val="bullet"/>
      <w:lvlText w:val=""/>
      <w:lvlJc w:val="left"/>
      <w:pPr>
        <w:tabs>
          <w:tab w:val="num" w:pos="360"/>
        </w:tabs>
        <w:ind w:left="360" w:hanging="360"/>
      </w:pPr>
      <w:rPr>
        <w:rFonts w:ascii="Symbol" w:hAnsi="Symbol" w:hint="default"/>
      </w:rPr>
    </w:lvl>
  </w:abstractNum>
  <w:abstractNum w:abstractNumId="2">
    <w:nsid w:val="045F5456"/>
    <w:multiLevelType w:val="hybridMultilevel"/>
    <w:tmpl w:val="5D62D7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6300768"/>
    <w:multiLevelType w:val="multilevel"/>
    <w:tmpl w:val="0C24085C"/>
    <w:styleLink w:val="References"/>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4">
    <w:nsid w:val="066B5C4C"/>
    <w:multiLevelType w:val="hybridMultilevel"/>
    <w:tmpl w:val="2B420A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C902EB9"/>
    <w:multiLevelType w:val="hybridMultilevel"/>
    <w:tmpl w:val="451224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1D539F9"/>
    <w:multiLevelType w:val="hybridMultilevel"/>
    <w:tmpl w:val="757800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44540FB"/>
    <w:multiLevelType w:val="hybridMultilevel"/>
    <w:tmpl w:val="61660EF8"/>
    <w:lvl w:ilvl="0" w:tplc="9738DE56">
      <w:start w:val="1"/>
      <w:numFmt w:val="bullet"/>
      <w:pStyle w:val="DidacticremarkCrossreferenc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46F2B04"/>
    <w:multiLevelType w:val="hybridMultilevel"/>
    <w:tmpl w:val="E430CB7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8CB5B0E"/>
    <w:multiLevelType w:val="hybridMultilevel"/>
    <w:tmpl w:val="8A9C1A8E"/>
    <w:lvl w:ilvl="0" w:tplc="72F6AA70">
      <w:start w:val="1"/>
      <w:numFmt w:val="bullet"/>
      <w:lvlText w:val="»"/>
      <w:lvlJc w:val="left"/>
      <w:pPr>
        <w:ind w:left="1123" w:hanging="360"/>
      </w:pPr>
      <w:rPr>
        <w:rFonts w:ascii="Calibri" w:hAnsi="Calibri" w:hint="default"/>
      </w:rPr>
    </w:lvl>
    <w:lvl w:ilvl="1" w:tplc="0C070003">
      <w:start w:val="1"/>
      <w:numFmt w:val="bullet"/>
      <w:lvlText w:val="o"/>
      <w:lvlJc w:val="left"/>
      <w:pPr>
        <w:ind w:left="1843" w:hanging="360"/>
      </w:pPr>
      <w:rPr>
        <w:rFonts w:ascii="Courier New" w:hAnsi="Courier New" w:hint="default"/>
      </w:rPr>
    </w:lvl>
    <w:lvl w:ilvl="2" w:tplc="0C070005" w:tentative="1">
      <w:start w:val="1"/>
      <w:numFmt w:val="bullet"/>
      <w:lvlText w:val=""/>
      <w:lvlJc w:val="left"/>
      <w:pPr>
        <w:ind w:left="2563" w:hanging="360"/>
      </w:pPr>
      <w:rPr>
        <w:rFonts w:ascii="Wingdings" w:hAnsi="Wingdings" w:hint="default"/>
      </w:rPr>
    </w:lvl>
    <w:lvl w:ilvl="3" w:tplc="0C070001" w:tentative="1">
      <w:start w:val="1"/>
      <w:numFmt w:val="bullet"/>
      <w:lvlText w:val=""/>
      <w:lvlJc w:val="left"/>
      <w:pPr>
        <w:ind w:left="3283" w:hanging="360"/>
      </w:pPr>
      <w:rPr>
        <w:rFonts w:ascii="Symbol" w:hAnsi="Symbol" w:hint="default"/>
      </w:rPr>
    </w:lvl>
    <w:lvl w:ilvl="4" w:tplc="0C070003" w:tentative="1">
      <w:start w:val="1"/>
      <w:numFmt w:val="bullet"/>
      <w:lvlText w:val="o"/>
      <w:lvlJc w:val="left"/>
      <w:pPr>
        <w:ind w:left="4003" w:hanging="360"/>
      </w:pPr>
      <w:rPr>
        <w:rFonts w:ascii="Courier New" w:hAnsi="Courier New" w:hint="default"/>
      </w:rPr>
    </w:lvl>
    <w:lvl w:ilvl="5" w:tplc="0C070005" w:tentative="1">
      <w:start w:val="1"/>
      <w:numFmt w:val="bullet"/>
      <w:lvlText w:val=""/>
      <w:lvlJc w:val="left"/>
      <w:pPr>
        <w:ind w:left="4723" w:hanging="360"/>
      </w:pPr>
      <w:rPr>
        <w:rFonts w:ascii="Wingdings" w:hAnsi="Wingdings" w:hint="default"/>
      </w:rPr>
    </w:lvl>
    <w:lvl w:ilvl="6" w:tplc="0C070001" w:tentative="1">
      <w:start w:val="1"/>
      <w:numFmt w:val="bullet"/>
      <w:lvlText w:val=""/>
      <w:lvlJc w:val="left"/>
      <w:pPr>
        <w:ind w:left="5443" w:hanging="360"/>
      </w:pPr>
      <w:rPr>
        <w:rFonts w:ascii="Symbol" w:hAnsi="Symbol" w:hint="default"/>
      </w:rPr>
    </w:lvl>
    <w:lvl w:ilvl="7" w:tplc="0C070003" w:tentative="1">
      <w:start w:val="1"/>
      <w:numFmt w:val="bullet"/>
      <w:lvlText w:val="o"/>
      <w:lvlJc w:val="left"/>
      <w:pPr>
        <w:ind w:left="6163" w:hanging="360"/>
      </w:pPr>
      <w:rPr>
        <w:rFonts w:ascii="Courier New" w:hAnsi="Courier New" w:hint="default"/>
      </w:rPr>
    </w:lvl>
    <w:lvl w:ilvl="8" w:tplc="0C070005" w:tentative="1">
      <w:start w:val="1"/>
      <w:numFmt w:val="bullet"/>
      <w:lvlText w:val=""/>
      <w:lvlJc w:val="left"/>
      <w:pPr>
        <w:ind w:left="6883" w:hanging="360"/>
      </w:pPr>
      <w:rPr>
        <w:rFonts w:ascii="Wingdings" w:hAnsi="Wingdings" w:hint="default"/>
      </w:rPr>
    </w:lvl>
  </w:abstractNum>
  <w:abstractNum w:abstractNumId="10">
    <w:nsid w:val="18FC3399"/>
    <w:multiLevelType w:val="multilevel"/>
    <w:tmpl w:val="D9204DE2"/>
    <w:lvl w:ilvl="0">
      <w:start w:val="1"/>
      <w:numFmt w:val="decimal"/>
      <w:pStyle w:val="Heading1"/>
      <w:lvlText w:val="%1."/>
      <w:lvlJc w:val="left"/>
      <w:pPr>
        <w:ind w:left="360" w:hanging="360"/>
      </w:pPr>
      <w:rPr>
        <w:rFonts w:ascii="Calibri" w:hAnsi="Calibri" w:cs="Times New Roman" w:hint="default"/>
        <w:b/>
        <w:i w:val="0"/>
        <w:sz w:val="28"/>
      </w:rPr>
    </w:lvl>
    <w:lvl w:ilvl="1">
      <w:start w:val="1"/>
      <w:numFmt w:val="decimal"/>
      <w:pStyle w:val="Heading2"/>
      <w:lvlText w:val="%1.%2"/>
      <w:lvlJc w:val="left"/>
      <w:pPr>
        <w:ind w:left="576" w:hanging="576"/>
      </w:pPr>
      <w:rPr>
        <w:rFonts w:cs="Times New Roman"/>
        <w:b/>
        <w:sz w:val="24"/>
        <w:szCs w:val="24"/>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1">
    <w:nsid w:val="1D9F156E"/>
    <w:multiLevelType w:val="hybridMultilevel"/>
    <w:tmpl w:val="B7C813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0EC3F16"/>
    <w:multiLevelType w:val="hybridMultilevel"/>
    <w:tmpl w:val="EAF8BA5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14919DD"/>
    <w:multiLevelType w:val="multilevel"/>
    <w:tmpl w:val="0C24085C"/>
    <w:styleLink w:val="ref"/>
    <w:lvl w:ilvl="0">
      <w:start w:val="1"/>
      <w:numFmt w:val="decimal"/>
      <w:lvlText w:val="[%1]"/>
      <w:lvlJc w:val="left"/>
      <w:pPr>
        <w:tabs>
          <w:tab w:val="num" w:pos="567"/>
        </w:tabs>
        <w:ind w:left="567" w:hanging="567"/>
      </w:pPr>
      <w:rPr>
        <w:rFonts w:ascii="Verdana" w:hAnsi="Verdana" w:cs="Times New Roman"/>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
    <w:nsid w:val="29EF5FBE"/>
    <w:multiLevelType w:val="hybridMultilevel"/>
    <w:tmpl w:val="7ED8B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0F20020"/>
    <w:multiLevelType w:val="hybridMultilevel"/>
    <w:tmpl w:val="E9F02446"/>
    <w:lvl w:ilvl="0" w:tplc="918C12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6C321D"/>
    <w:multiLevelType w:val="hybridMultilevel"/>
    <w:tmpl w:val="7A34B6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F4C042D"/>
    <w:multiLevelType w:val="hybridMultilevel"/>
    <w:tmpl w:val="2CF069F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7C28F1"/>
    <w:multiLevelType w:val="hybridMultilevel"/>
    <w:tmpl w:val="B1940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1092BAA"/>
    <w:multiLevelType w:val="hybridMultilevel"/>
    <w:tmpl w:val="99F4C4B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66560E1"/>
    <w:multiLevelType w:val="hybridMultilevel"/>
    <w:tmpl w:val="D0C241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A403922"/>
    <w:multiLevelType w:val="hybridMultilevel"/>
    <w:tmpl w:val="8C8C6DDA"/>
    <w:lvl w:ilvl="0" w:tplc="E040AB5C">
      <w:start w:val="1"/>
      <w:numFmt w:val="decimal"/>
      <w:lvlText w:val="%1."/>
      <w:lvlJc w:val="left"/>
      <w:pPr>
        <w:ind w:left="720" w:hanging="360"/>
      </w:pPr>
      <w:rPr>
        <w:rFonts w:ascii="Verdana" w:hAnsi="Verdana" w:cs="Times New Roman" w:hint="default"/>
        <w:b/>
        <w:i w:val="0"/>
        <w:sz w:val="24"/>
      </w:rPr>
    </w:lvl>
    <w:lvl w:ilvl="1" w:tplc="871EF07C">
      <w:start w:val="1"/>
      <w:numFmt w:val="decimal"/>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C3016B9"/>
    <w:multiLevelType w:val="hybridMultilevel"/>
    <w:tmpl w:val="B964C572"/>
    <w:lvl w:ilvl="0" w:tplc="3F588D1C">
      <w:start w:val="1"/>
      <w:numFmt w:val="bullet"/>
      <w:pStyle w:val="Didacticremark"/>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5770F66"/>
    <w:multiLevelType w:val="hybridMultilevel"/>
    <w:tmpl w:val="F7ECD914"/>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57522204"/>
    <w:multiLevelType w:val="hybridMultilevel"/>
    <w:tmpl w:val="4956E20C"/>
    <w:lvl w:ilvl="0" w:tplc="6BFE7C94">
      <w:numFmt w:val="bullet"/>
      <w:pStyle w:val="DidacticremarkVideo"/>
      <w:lvlText w:val=""/>
      <w:lvlJc w:val="left"/>
      <w:pPr>
        <w:ind w:left="720" w:hanging="360"/>
      </w:pPr>
      <w:rPr>
        <w:rFonts w:ascii="Webdings" w:eastAsia="Times New Roman" w:hAnsi="Web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612442"/>
    <w:multiLevelType w:val="hybridMultilevel"/>
    <w:tmpl w:val="6DEC7C9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5D931224"/>
    <w:multiLevelType w:val="hybridMultilevel"/>
    <w:tmpl w:val="559E1B90"/>
    <w:lvl w:ilvl="0" w:tplc="0408000F">
      <w:start w:val="1"/>
      <w:numFmt w:val="decimal"/>
      <w:lvlText w:val="%1."/>
      <w:lvlJc w:val="left"/>
      <w:pPr>
        <w:tabs>
          <w:tab w:val="num" w:pos="795"/>
        </w:tabs>
        <w:ind w:left="795" w:hanging="360"/>
      </w:pPr>
      <w:rPr>
        <w:rFonts w:cs="Times New Roman"/>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abstractNum w:abstractNumId="27">
    <w:nsid w:val="5E72769B"/>
    <w:multiLevelType w:val="hybridMultilevel"/>
    <w:tmpl w:val="19E604AE"/>
    <w:lvl w:ilvl="0" w:tplc="E06E637C">
      <w:start w:val="1"/>
      <w:numFmt w:val="bullet"/>
      <w:pStyle w:val="DidacticremarkNot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0420DC4"/>
    <w:multiLevelType w:val="hybridMultilevel"/>
    <w:tmpl w:val="71DA40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1A705A1"/>
    <w:multiLevelType w:val="hybridMultilevel"/>
    <w:tmpl w:val="17EAE2F4"/>
    <w:lvl w:ilvl="0" w:tplc="AEA45458">
      <w:start w:val="1"/>
      <w:numFmt w:val="bullet"/>
      <w:pStyle w:val="DidacticremarkPowerPoint"/>
      <w:lvlText w:val=""/>
      <w:lvlJc w:val="left"/>
      <w:pPr>
        <w:ind w:left="36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3EA5608"/>
    <w:multiLevelType w:val="hybridMultilevel"/>
    <w:tmpl w:val="64FE0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D032A4"/>
    <w:multiLevelType w:val="hybridMultilevel"/>
    <w:tmpl w:val="E6FABB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B160C2C"/>
    <w:multiLevelType w:val="hybridMultilevel"/>
    <w:tmpl w:val="4904960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6FF67E26"/>
    <w:multiLevelType w:val="singleLevel"/>
    <w:tmpl w:val="94F03D08"/>
    <w:lvl w:ilvl="0">
      <w:start w:val="1"/>
      <w:numFmt w:val="bullet"/>
      <w:pStyle w:val="ListBullet"/>
      <w:lvlText w:val=""/>
      <w:lvlJc w:val="left"/>
      <w:pPr>
        <w:tabs>
          <w:tab w:val="num" w:pos="567"/>
        </w:tabs>
        <w:ind w:left="567" w:hanging="454"/>
      </w:pPr>
      <w:rPr>
        <w:rFonts w:ascii="Symbol" w:hAnsi="Symbol" w:hint="default"/>
      </w:rPr>
    </w:lvl>
  </w:abstractNum>
  <w:abstractNum w:abstractNumId="34">
    <w:nsid w:val="72266E19"/>
    <w:multiLevelType w:val="hybridMultilevel"/>
    <w:tmpl w:val="00A8A41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75784A03"/>
    <w:multiLevelType w:val="hybridMultilevel"/>
    <w:tmpl w:val="33521A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72273F"/>
    <w:multiLevelType w:val="multilevel"/>
    <w:tmpl w:val="0C24085C"/>
    <w:styleLink w:val="references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000000"/>
        <w:sz w:val="24"/>
        <w:szCs w:val="24"/>
        <w:vertAlign w:val="baseline"/>
      </w:rPr>
    </w:lvl>
    <w:lvl w:ilvl="1">
      <w:start w:val="1"/>
      <w:numFmt w:val="decimal"/>
      <w:lvlText w:val="%1.%2"/>
      <w:lvlJc w:val="left"/>
      <w:pPr>
        <w:tabs>
          <w:tab w:val="num" w:pos="737"/>
        </w:tabs>
        <w:ind w:left="715" w:hanging="432"/>
      </w:pPr>
      <w:rPr>
        <w:rFonts w:cs="Times New Roman" w:hint="default"/>
        <w:b/>
        <w:i w:val="0"/>
        <w:sz w:val="24"/>
        <w:szCs w:val="24"/>
      </w:rPr>
    </w:lvl>
    <w:lvl w:ilvl="2">
      <w:start w:val="1"/>
      <w:numFmt w:val="decimal"/>
      <w:lvlText w:val="%1.%2.%3"/>
      <w:lvlJc w:val="left"/>
      <w:pPr>
        <w:tabs>
          <w:tab w:val="num" w:pos="1363"/>
        </w:tabs>
        <w:ind w:left="1147" w:hanging="504"/>
      </w:pPr>
      <w:rPr>
        <w:rFonts w:cs="Times New Roman" w:hint="default"/>
      </w:rPr>
    </w:lvl>
    <w:lvl w:ilvl="3">
      <w:start w:val="1"/>
      <w:numFmt w:val="decimal"/>
      <w:lvlText w:val="%1.%2.%3.%4"/>
      <w:lvlJc w:val="left"/>
      <w:pPr>
        <w:tabs>
          <w:tab w:val="num" w:pos="1723"/>
        </w:tabs>
        <w:ind w:left="1651" w:hanging="648"/>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37">
    <w:nsid w:val="78147C85"/>
    <w:multiLevelType w:val="hybridMultilevel"/>
    <w:tmpl w:val="7D5C98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82B505E"/>
    <w:multiLevelType w:val="hybridMultilevel"/>
    <w:tmpl w:val="D5BAFD4C"/>
    <w:lvl w:ilvl="0" w:tplc="5EFEAF26">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A6F4D70"/>
    <w:multiLevelType w:val="hybridMultilevel"/>
    <w:tmpl w:val="31DEA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7EFB374D"/>
    <w:multiLevelType w:val="hybridMultilevel"/>
    <w:tmpl w:val="922C042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7F663DFE"/>
    <w:multiLevelType w:val="hybridMultilevel"/>
    <w:tmpl w:val="91A4CDDE"/>
    <w:lvl w:ilvl="0" w:tplc="7B6679DA">
      <w:start w:val="1"/>
      <w:numFmt w:val="decimal"/>
      <w:lvlText w:val="%1."/>
      <w:lvlJc w:val="left"/>
      <w:pPr>
        <w:ind w:left="720" w:hanging="360"/>
      </w:pPr>
      <w:rPr>
        <w:rFonts w:ascii="Verdana" w:hAnsi="Verdana" w:cs="Times New Roman" w:hint="default"/>
        <w:b/>
        <w:i w:val="0"/>
        <w:sz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33"/>
  </w:num>
  <w:num w:numId="4">
    <w:abstractNumId w:val="36"/>
  </w:num>
  <w:num w:numId="5">
    <w:abstractNumId w:val="3"/>
  </w:num>
  <w:num w:numId="6">
    <w:abstractNumId w:val="13"/>
  </w:num>
  <w:num w:numId="7">
    <w:abstractNumId w:val="32"/>
  </w:num>
  <w:num w:numId="8">
    <w:abstractNumId w:val="39"/>
  </w:num>
  <w:num w:numId="9">
    <w:abstractNumId w:val="18"/>
  </w:num>
  <w:num w:numId="10">
    <w:abstractNumId w:val="8"/>
  </w:num>
  <w:num w:numId="11">
    <w:abstractNumId w:val="4"/>
  </w:num>
  <w:num w:numId="12">
    <w:abstractNumId w:val="11"/>
  </w:num>
  <w:num w:numId="13">
    <w:abstractNumId w:val="12"/>
  </w:num>
  <w:num w:numId="14">
    <w:abstractNumId w:val="31"/>
  </w:num>
  <w:num w:numId="15">
    <w:abstractNumId w:val="6"/>
  </w:num>
  <w:num w:numId="16">
    <w:abstractNumId w:val="34"/>
  </w:num>
  <w:num w:numId="17">
    <w:abstractNumId w:val="23"/>
  </w:num>
  <w:num w:numId="18">
    <w:abstractNumId w:val="40"/>
  </w:num>
  <w:num w:numId="19">
    <w:abstractNumId w:val="26"/>
  </w:num>
  <w:num w:numId="20">
    <w:abstractNumId w:val="37"/>
  </w:num>
  <w:num w:numId="21">
    <w:abstractNumId w:val="25"/>
  </w:num>
  <w:num w:numId="22">
    <w:abstractNumId w:val="28"/>
  </w:num>
  <w:num w:numId="23">
    <w:abstractNumId w:val="16"/>
  </w:num>
  <w:num w:numId="24">
    <w:abstractNumId w:val="17"/>
  </w:num>
  <w:num w:numId="25">
    <w:abstractNumId w:val="20"/>
  </w:num>
  <w:num w:numId="26">
    <w:abstractNumId w:val="2"/>
  </w:num>
  <w:num w:numId="27">
    <w:abstractNumId w:val="19"/>
  </w:num>
  <w:num w:numId="28">
    <w:abstractNumId w:val="41"/>
  </w:num>
  <w:num w:numId="29">
    <w:abstractNumId w:val="21"/>
  </w:num>
  <w:num w:numId="30">
    <w:abstractNumId w:val="10"/>
  </w:num>
  <w:num w:numId="31">
    <w:abstractNumId w:val="35"/>
  </w:num>
  <w:num w:numId="32">
    <w:abstractNumId w:val="0"/>
  </w:num>
  <w:num w:numId="33">
    <w:abstractNumId w:val="22"/>
  </w:num>
  <w:num w:numId="34">
    <w:abstractNumId w:val="24"/>
  </w:num>
  <w:num w:numId="35">
    <w:abstractNumId w:val="27"/>
  </w:num>
  <w:num w:numId="36">
    <w:abstractNumId w:val="29"/>
  </w:num>
  <w:num w:numId="37">
    <w:abstractNumId w:val="9"/>
  </w:num>
  <w:num w:numId="38">
    <w:abstractNumId w:val="15"/>
  </w:num>
  <w:num w:numId="39">
    <w:abstractNumId w:val="30"/>
  </w:num>
  <w:num w:numId="40">
    <w:abstractNumId w:val="7"/>
  </w:num>
  <w:num w:numId="41">
    <w:abstractNumId w:val="10"/>
  </w:num>
  <w:num w:numId="42">
    <w:abstractNumId w:val="38"/>
  </w:num>
  <w:num w:numId="43">
    <w:abstractNumId w:val="10"/>
  </w:num>
  <w:num w:numId="44">
    <w:abstractNumId w:val="10"/>
  </w:num>
  <w:num w:numId="45">
    <w:abstractNumId w:val="10"/>
  </w:num>
  <w:num w:numId="46">
    <w:abstractNumId w:val="10"/>
  </w:num>
  <w:num w:numId="47">
    <w:abstractNumId w:val="10"/>
  </w:num>
  <w:num w:numId="48">
    <w:abstractNumId w:val="14"/>
  </w:num>
  <w:num w:numId="49">
    <w:abstractNumId w:val="10"/>
  </w:num>
  <w:num w:numId="50">
    <w:abstractNumId w:val="10"/>
  </w:num>
  <w:num w:numId="51">
    <w:abstractNumId w:val="10"/>
  </w:num>
  <w:num w:numId="52">
    <w:abstractNumId w:val="5"/>
  </w:num>
  <w:num w:numId="53">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673F"/>
    <w:rsid w:val="000248C7"/>
    <w:rsid w:val="0005137E"/>
    <w:rsid w:val="00076EC9"/>
    <w:rsid w:val="000816AB"/>
    <w:rsid w:val="0008784F"/>
    <w:rsid w:val="00091B0E"/>
    <w:rsid w:val="0009510C"/>
    <w:rsid w:val="000A3060"/>
    <w:rsid w:val="000A3C7A"/>
    <w:rsid w:val="000A4437"/>
    <w:rsid w:val="000A5174"/>
    <w:rsid w:val="000A70F9"/>
    <w:rsid w:val="000B410A"/>
    <w:rsid w:val="000B420A"/>
    <w:rsid w:val="000D6C24"/>
    <w:rsid w:val="000E10EB"/>
    <w:rsid w:val="000E7CAB"/>
    <w:rsid w:val="000F22EF"/>
    <w:rsid w:val="000F64AE"/>
    <w:rsid w:val="000F7226"/>
    <w:rsid w:val="001077C5"/>
    <w:rsid w:val="001474D8"/>
    <w:rsid w:val="0015012C"/>
    <w:rsid w:val="00156CDF"/>
    <w:rsid w:val="00157134"/>
    <w:rsid w:val="0016509B"/>
    <w:rsid w:val="0016696B"/>
    <w:rsid w:val="00177ADF"/>
    <w:rsid w:val="0019765E"/>
    <w:rsid w:val="00197FB0"/>
    <w:rsid w:val="001A0C8F"/>
    <w:rsid w:val="001B563F"/>
    <w:rsid w:val="001D791F"/>
    <w:rsid w:val="001D7B9B"/>
    <w:rsid w:val="001E69A9"/>
    <w:rsid w:val="001F336C"/>
    <w:rsid w:val="002316E4"/>
    <w:rsid w:val="002532DA"/>
    <w:rsid w:val="00264283"/>
    <w:rsid w:val="002905E0"/>
    <w:rsid w:val="0029585B"/>
    <w:rsid w:val="002A6363"/>
    <w:rsid w:val="002A6383"/>
    <w:rsid w:val="002B125C"/>
    <w:rsid w:val="002E2529"/>
    <w:rsid w:val="002E5464"/>
    <w:rsid w:val="002F2069"/>
    <w:rsid w:val="00312EE7"/>
    <w:rsid w:val="003142B4"/>
    <w:rsid w:val="00323240"/>
    <w:rsid w:val="0033420C"/>
    <w:rsid w:val="00344EA2"/>
    <w:rsid w:val="003472D4"/>
    <w:rsid w:val="00350ACD"/>
    <w:rsid w:val="00357A7D"/>
    <w:rsid w:val="00357C68"/>
    <w:rsid w:val="0038332B"/>
    <w:rsid w:val="00384A99"/>
    <w:rsid w:val="003A6293"/>
    <w:rsid w:val="003B3756"/>
    <w:rsid w:val="003B6BAF"/>
    <w:rsid w:val="003C1833"/>
    <w:rsid w:val="003C1F58"/>
    <w:rsid w:val="003C379C"/>
    <w:rsid w:val="003C68F8"/>
    <w:rsid w:val="003F04C6"/>
    <w:rsid w:val="003F6F77"/>
    <w:rsid w:val="0040727E"/>
    <w:rsid w:val="00420F07"/>
    <w:rsid w:val="0042123F"/>
    <w:rsid w:val="00486F4A"/>
    <w:rsid w:val="0049216A"/>
    <w:rsid w:val="00492878"/>
    <w:rsid w:val="004B4601"/>
    <w:rsid w:val="004E017A"/>
    <w:rsid w:val="00527425"/>
    <w:rsid w:val="0053615B"/>
    <w:rsid w:val="005366CF"/>
    <w:rsid w:val="005442A4"/>
    <w:rsid w:val="00552D30"/>
    <w:rsid w:val="00573288"/>
    <w:rsid w:val="00574A14"/>
    <w:rsid w:val="00580E57"/>
    <w:rsid w:val="005816B9"/>
    <w:rsid w:val="0059417E"/>
    <w:rsid w:val="00597849"/>
    <w:rsid w:val="005D26D2"/>
    <w:rsid w:val="005E0957"/>
    <w:rsid w:val="00621322"/>
    <w:rsid w:val="00645554"/>
    <w:rsid w:val="006462AB"/>
    <w:rsid w:val="00650CF8"/>
    <w:rsid w:val="006613F3"/>
    <w:rsid w:val="00662056"/>
    <w:rsid w:val="00665BCD"/>
    <w:rsid w:val="00677C5A"/>
    <w:rsid w:val="00691F31"/>
    <w:rsid w:val="006B1EC0"/>
    <w:rsid w:val="006E622E"/>
    <w:rsid w:val="006E686D"/>
    <w:rsid w:val="006F2C39"/>
    <w:rsid w:val="006F4D58"/>
    <w:rsid w:val="00710F28"/>
    <w:rsid w:val="007174B3"/>
    <w:rsid w:val="00732F71"/>
    <w:rsid w:val="007346EB"/>
    <w:rsid w:val="007478AB"/>
    <w:rsid w:val="00752CA3"/>
    <w:rsid w:val="0077193B"/>
    <w:rsid w:val="00773D4B"/>
    <w:rsid w:val="00777271"/>
    <w:rsid w:val="00785C46"/>
    <w:rsid w:val="007A1C4D"/>
    <w:rsid w:val="007C08F0"/>
    <w:rsid w:val="007D0427"/>
    <w:rsid w:val="008130F0"/>
    <w:rsid w:val="00815B69"/>
    <w:rsid w:val="008216EA"/>
    <w:rsid w:val="0082381B"/>
    <w:rsid w:val="00833BFE"/>
    <w:rsid w:val="0084255E"/>
    <w:rsid w:val="00843D7C"/>
    <w:rsid w:val="00845DF9"/>
    <w:rsid w:val="00851234"/>
    <w:rsid w:val="008718C7"/>
    <w:rsid w:val="00873B1D"/>
    <w:rsid w:val="00877CF1"/>
    <w:rsid w:val="00892DC7"/>
    <w:rsid w:val="008A22E8"/>
    <w:rsid w:val="008A2773"/>
    <w:rsid w:val="008A3BA3"/>
    <w:rsid w:val="008A6397"/>
    <w:rsid w:val="008B361A"/>
    <w:rsid w:val="008B6CAD"/>
    <w:rsid w:val="008C619E"/>
    <w:rsid w:val="0090317A"/>
    <w:rsid w:val="009211BA"/>
    <w:rsid w:val="00923915"/>
    <w:rsid w:val="00931EFA"/>
    <w:rsid w:val="009360FE"/>
    <w:rsid w:val="0095106C"/>
    <w:rsid w:val="009557AB"/>
    <w:rsid w:val="0095667B"/>
    <w:rsid w:val="009640E4"/>
    <w:rsid w:val="00973A30"/>
    <w:rsid w:val="00987C22"/>
    <w:rsid w:val="009C354E"/>
    <w:rsid w:val="009E297E"/>
    <w:rsid w:val="009E650C"/>
    <w:rsid w:val="009F0C61"/>
    <w:rsid w:val="00A01631"/>
    <w:rsid w:val="00A06572"/>
    <w:rsid w:val="00A112C4"/>
    <w:rsid w:val="00A203BE"/>
    <w:rsid w:val="00A25B7C"/>
    <w:rsid w:val="00A32635"/>
    <w:rsid w:val="00A444EF"/>
    <w:rsid w:val="00A509FC"/>
    <w:rsid w:val="00A53B58"/>
    <w:rsid w:val="00A71E44"/>
    <w:rsid w:val="00A90B9C"/>
    <w:rsid w:val="00AA1B90"/>
    <w:rsid w:val="00AD5625"/>
    <w:rsid w:val="00AD71A3"/>
    <w:rsid w:val="00AF43D9"/>
    <w:rsid w:val="00B056F5"/>
    <w:rsid w:val="00B061BB"/>
    <w:rsid w:val="00B21B34"/>
    <w:rsid w:val="00B2454D"/>
    <w:rsid w:val="00B36187"/>
    <w:rsid w:val="00B42C12"/>
    <w:rsid w:val="00B431D3"/>
    <w:rsid w:val="00B579C9"/>
    <w:rsid w:val="00B62643"/>
    <w:rsid w:val="00B649E0"/>
    <w:rsid w:val="00B86C75"/>
    <w:rsid w:val="00BA0A07"/>
    <w:rsid w:val="00BA152A"/>
    <w:rsid w:val="00BC2589"/>
    <w:rsid w:val="00BC3EE1"/>
    <w:rsid w:val="00BE3CBA"/>
    <w:rsid w:val="00C41C59"/>
    <w:rsid w:val="00C42479"/>
    <w:rsid w:val="00C44CC7"/>
    <w:rsid w:val="00C524A5"/>
    <w:rsid w:val="00C63FDC"/>
    <w:rsid w:val="00CA60E1"/>
    <w:rsid w:val="00CB57BD"/>
    <w:rsid w:val="00CB7C15"/>
    <w:rsid w:val="00CD63DF"/>
    <w:rsid w:val="00CD7431"/>
    <w:rsid w:val="00CE2F5A"/>
    <w:rsid w:val="00CE74BC"/>
    <w:rsid w:val="00CF5402"/>
    <w:rsid w:val="00D13A82"/>
    <w:rsid w:val="00D3119B"/>
    <w:rsid w:val="00D42F29"/>
    <w:rsid w:val="00D433F5"/>
    <w:rsid w:val="00D505C4"/>
    <w:rsid w:val="00D50BE8"/>
    <w:rsid w:val="00D5273C"/>
    <w:rsid w:val="00D66FAF"/>
    <w:rsid w:val="00D77A68"/>
    <w:rsid w:val="00D81630"/>
    <w:rsid w:val="00D93D78"/>
    <w:rsid w:val="00DA09EF"/>
    <w:rsid w:val="00DB05FC"/>
    <w:rsid w:val="00E0161A"/>
    <w:rsid w:val="00E06AB1"/>
    <w:rsid w:val="00E2673F"/>
    <w:rsid w:val="00E278F9"/>
    <w:rsid w:val="00E343FE"/>
    <w:rsid w:val="00E578C5"/>
    <w:rsid w:val="00E616CC"/>
    <w:rsid w:val="00E67A76"/>
    <w:rsid w:val="00E72FD1"/>
    <w:rsid w:val="00E73141"/>
    <w:rsid w:val="00E86E48"/>
    <w:rsid w:val="00EA54E8"/>
    <w:rsid w:val="00EA7A06"/>
    <w:rsid w:val="00EB60AD"/>
    <w:rsid w:val="00EC1DFA"/>
    <w:rsid w:val="00ED4F46"/>
    <w:rsid w:val="00EF0E25"/>
    <w:rsid w:val="00F11535"/>
    <w:rsid w:val="00F12F22"/>
    <w:rsid w:val="00F17798"/>
    <w:rsid w:val="00F3181E"/>
    <w:rsid w:val="00F31C64"/>
    <w:rsid w:val="00F32071"/>
    <w:rsid w:val="00F33E7A"/>
    <w:rsid w:val="00F42A5D"/>
    <w:rsid w:val="00F54D6C"/>
    <w:rsid w:val="00F61A70"/>
    <w:rsid w:val="00F7411C"/>
    <w:rsid w:val="00F775FB"/>
    <w:rsid w:val="00F86E76"/>
    <w:rsid w:val="00F87DA4"/>
    <w:rsid w:val="00FA2788"/>
    <w:rsid w:val="00FA67CD"/>
    <w:rsid w:val="00FB4875"/>
    <w:rsid w:val="00FD13E1"/>
    <w:rsid w:val="00FE654F"/>
    <w:rsid w:val="00FF390C"/>
    <w:rsid w:val="00FF6B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2A9AEE-E608-44E8-9D7F-3252AD05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3F"/>
    <w:pPr>
      <w:spacing w:before="120" w:after="120" w:line="360" w:lineRule="auto"/>
    </w:pPr>
    <w:rPr>
      <w:rFonts w:ascii="Calibri" w:hAnsi="Calibri"/>
      <w:szCs w:val="24"/>
      <w:lang w:val="el-GR" w:eastAsia="el-GR"/>
    </w:rPr>
  </w:style>
  <w:style w:type="paragraph" w:styleId="Heading1">
    <w:name w:val="heading 1"/>
    <w:basedOn w:val="Normal"/>
    <w:next w:val="Normal"/>
    <w:link w:val="Heading1Char"/>
    <w:uiPriority w:val="99"/>
    <w:qFormat/>
    <w:rsid w:val="00E2673F"/>
    <w:pPr>
      <w:keepNext/>
      <w:numPr>
        <w:numId w:val="30"/>
      </w:numPr>
      <w:pBdr>
        <w:bottom w:val="dotted" w:sz="8" w:space="1" w:color="BFBFBF"/>
      </w:pBdr>
      <w:spacing w:before="240" w:after="60"/>
      <w:outlineLvl w:val="0"/>
    </w:pPr>
    <w:rPr>
      <w:rFonts w:cs="Arial"/>
      <w:b/>
      <w:bCs/>
      <w:kern w:val="32"/>
      <w:sz w:val="26"/>
      <w:szCs w:val="20"/>
      <w:lang w:val="en-US"/>
    </w:rPr>
  </w:style>
  <w:style w:type="paragraph" w:styleId="Heading2">
    <w:name w:val="heading 2"/>
    <w:basedOn w:val="Heading1"/>
    <w:next w:val="Normal"/>
    <w:link w:val="Heading2Char"/>
    <w:uiPriority w:val="99"/>
    <w:qFormat/>
    <w:rsid w:val="00E2673F"/>
    <w:pPr>
      <w:numPr>
        <w:ilvl w:val="1"/>
      </w:numPr>
      <w:outlineLvl w:val="1"/>
    </w:pPr>
    <w:rPr>
      <w:bCs w:val="0"/>
      <w:iCs/>
      <w:sz w:val="24"/>
    </w:rPr>
  </w:style>
  <w:style w:type="paragraph" w:styleId="Heading3">
    <w:name w:val="heading 3"/>
    <w:basedOn w:val="Normal"/>
    <w:next w:val="Normal"/>
    <w:link w:val="Heading3Char"/>
    <w:uiPriority w:val="99"/>
    <w:qFormat/>
    <w:rsid w:val="00E2673F"/>
    <w:pPr>
      <w:keepNext/>
      <w:numPr>
        <w:ilvl w:val="2"/>
        <w:numId w:val="30"/>
      </w:numPr>
      <w:tabs>
        <w:tab w:val="left" w:pos="284"/>
      </w:tabs>
      <w:outlineLvl w:val="2"/>
    </w:pPr>
    <w:rPr>
      <w:i/>
      <w:szCs w:val="20"/>
    </w:rPr>
  </w:style>
  <w:style w:type="paragraph" w:styleId="Heading4">
    <w:name w:val="heading 4"/>
    <w:basedOn w:val="Normal"/>
    <w:next w:val="Normal"/>
    <w:link w:val="Heading4Char"/>
    <w:uiPriority w:val="99"/>
    <w:qFormat/>
    <w:rsid w:val="00E2673F"/>
    <w:pPr>
      <w:keepNext/>
      <w:numPr>
        <w:ilvl w:val="3"/>
        <w:numId w:val="30"/>
      </w:numPr>
      <w:spacing w:before="240" w:after="60"/>
      <w:outlineLvl w:val="3"/>
    </w:pPr>
    <w:rPr>
      <w:b/>
      <w:bCs/>
      <w:sz w:val="28"/>
      <w:szCs w:val="28"/>
    </w:rPr>
  </w:style>
  <w:style w:type="paragraph" w:styleId="Heading5">
    <w:name w:val="heading 5"/>
    <w:basedOn w:val="Normal"/>
    <w:next w:val="Normal"/>
    <w:link w:val="Heading5Char"/>
    <w:uiPriority w:val="99"/>
    <w:qFormat/>
    <w:rsid w:val="00E2673F"/>
    <w:pPr>
      <w:numPr>
        <w:ilvl w:val="4"/>
        <w:numId w:val="30"/>
      </w:numPr>
      <w:spacing w:before="240" w:after="60"/>
      <w:outlineLvl w:val="4"/>
    </w:pPr>
    <w:rPr>
      <w:b/>
      <w:bCs/>
      <w:i/>
      <w:iCs/>
      <w:sz w:val="26"/>
      <w:szCs w:val="26"/>
    </w:rPr>
  </w:style>
  <w:style w:type="paragraph" w:styleId="Heading6">
    <w:name w:val="heading 6"/>
    <w:basedOn w:val="Normal"/>
    <w:next w:val="Normal"/>
    <w:link w:val="Heading6Char"/>
    <w:uiPriority w:val="99"/>
    <w:qFormat/>
    <w:rsid w:val="00E2673F"/>
    <w:pPr>
      <w:numPr>
        <w:ilvl w:val="5"/>
        <w:numId w:val="30"/>
      </w:numPr>
      <w:spacing w:before="240" w:after="60"/>
      <w:outlineLvl w:val="5"/>
    </w:pPr>
    <w:rPr>
      <w:b/>
      <w:bCs/>
      <w:szCs w:val="22"/>
    </w:rPr>
  </w:style>
  <w:style w:type="paragraph" w:styleId="Heading7">
    <w:name w:val="heading 7"/>
    <w:basedOn w:val="Normal"/>
    <w:next w:val="Normal"/>
    <w:link w:val="Heading7Char"/>
    <w:uiPriority w:val="99"/>
    <w:qFormat/>
    <w:rsid w:val="00E2673F"/>
    <w:pPr>
      <w:numPr>
        <w:ilvl w:val="6"/>
        <w:numId w:val="30"/>
      </w:numPr>
      <w:spacing w:before="240" w:after="60"/>
      <w:outlineLvl w:val="6"/>
    </w:pPr>
    <w:rPr>
      <w:sz w:val="24"/>
    </w:rPr>
  </w:style>
  <w:style w:type="paragraph" w:styleId="Heading8">
    <w:name w:val="heading 8"/>
    <w:basedOn w:val="Normal"/>
    <w:next w:val="Normal"/>
    <w:link w:val="Heading8Char"/>
    <w:uiPriority w:val="99"/>
    <w:qFormat/>
    <w:rsid w:val="00E2673F"/>
    <w:pPr>
      <w:numPr>
        <w:ilvl w:val="7"/>
        <w:numId w:val="30"/>
      </w:numPr>
      <w:spacing w:before="240" w:after="60"/>
      <w:outlineLvl w:val="7"/>
    </w:pPr>
    <w:rPr>
      <w:i/>
      <w:iCs/>
      <w:sz w:val="24"/>
    </w:rPr>
  </w:style>
  <w:style w:type="paragraph" w:styleId="Heading9">
    <w:name w:val="heading 9"/>
    <w:basedOn w:val="Normal"/>
    <w:next w:val="Normal"/>
    <w:link w:val="Heading9Char"/>
    <w:uiPriority w:val="99"/>
    <w:qFormat/>
    <w:rsid w:val="00E2673F"/>
    <w:pPr>
      <w:numPr>
        <w:ilvl w:val="8"/>
        <w:numId w:val="30"/>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673F"/>
    <w:rPr>
      <w:rFonts w:ascii="Calibri" w:hAnsi="Calibri" w:cs="Arial"/>
      <w:b/>
      <w:bCs/>
      <w:kern w:val="32"/>
      <w:sz w:val="26"/>
      <w:szCs w:val="20"/>
      <w:lang w:val="en-US" w:eastAsia="el-GR"/>
    </w:rPr>
  </w:style>
  <w:style w:type="character" w:customStyle="1" w:styleId="Heading2Char">
    <w:name w:val="Heading 2 Char"/>
    <w:basedOn w:val="DefaultParagraphFont"/>
    <w:link w:val="Heading2"/>
    <w:uiPriority w:val="99"/>
    <w:locked/>
    <w:rsid w:val="00E2673F"/>
    <w:rPr>
      <w:rFonts w:ascii="Calibri" w:hAnsi="Calibri" w:cs="Arial"/>
      <w:b/>
      <w:iCs/>
      <w:kern w:val="32"/>
      <w:sz w:val="24"/>
      <w:szCs w:val="20"/>
      <w:lang w:val="en-US" w:eastAsia="el-GR"/>
    </w:rPr>
  </w:style>
  <w:style w:type="character" w:customStyle="1" w:styleId="Heading3Char">
    <w:name w:val="Heading 3 Char"/>
    <w:basedOn w:val="DefaultParagraphFont"/>
    <w:link w:val="Heading3"/>
    <w:uiPriority w:val="99"/>
    <w:locked/>
    <w:rsid w:val="00E2673F"/>
    <w:rPr>
      <w:rFonts w:ascii="Calibri" w:hAnsi="Calibri"/>
      <w:i/>
      <w:szCs w:val="20"/>
      <w:lang w:val="el-GR" w:eastAsia="el-GR"/>
    </w:rPr>
  </w:style>
  <w:style w:type="character" w:customStyle="1" w:styleId="Heading4Char">
    <w:name w:val="Heading 4 Char"/>
    <w:basedOn w:val="DefaultParagraphFont"/>
    <w:link w:val="Heading4"/>
    <w:uiPriority w:val="99"/>
    <w:locked/>
    <w:rsid w:val="00E2673F"/>
    <w:rPr>
      <w:rFonts w:ascii="Calibri" w:hAnsi="Calibri"/>
      <w:b/>
      <w:bCs/>
      <w:sz w:val="28"/>
      <w:szCs w:val="28"/>
      <w:lang w:val="el-GR" w:eastAsia="el-GR"/>
    </w:rPr>
  </w:style>
  <w:style w:type="character" w:customStyle="1" w:styleId="Heading5Char">
    <w:name w:val="Heading 5 Char"/>
    <w:basedOn w:val="DefaultParagraphFont"/>
    <w:link w:val="Heading5"/>
    <w:uiPriority w:val="99"/>
    <w:locked/>
    <w:rsid w:val="00E2673F"/>
    <w:rPr>
      <w:rFonts w:ascii="Calibri" w:hAnsi="Calibri"/>
      <w:b/>
      <w:bCs/>
      <w:i/>
      <w:iCs/>
      <w:sz w:val="26"/>
      <w:szCs w:val="26"/>
      <w:lang w:val="el-GR" w:eastAsia="el-GR"/>
    </w:rPr>
  </w:style>
  <w:style w:type="character" w:customStyle="1" w:styleId="Heading6Char">
    <w:name w:val="Heading 6 Char"/>
    <w:basedOn w:val="DefaultParagraphFont"/>
    <w:link w:val="Heading6"/>
    <w:uiPriority w:val="99"/>
    <w:locked/>
    <w:rsid w:val="00E2673F"/>
    <w:rPr>
      <w:rFonts w:ascii="Calibri" w:hAnsi="Calibri"/>
      <w:b/>
      <w:bCs/>
      <w:lang w:val="el-GR" w:eastAsia="el-GR"/>
    </w:rPr>
  </w:style>
  <w:style w:type="character" w:customStyle="1" w:styleId="Heading7Char">
    <w:name w:val="Heading 7 Char"/>
    <w:basedOn w:val="DefaultParagraphFont"/>
    <w:link w:val="Heading7"/>
    <w:uiPriority w:val="99"/>
    <w:locked/>
    <w:rsid w:val="00E2673F"/>
    <w:rPr>
      <w:rFonts w:ascii="Calibri" w:hAnsi="Calibri"/>
      <w:sz w:val="24"/>
      <w:szCs w:val="24"/>
      <w:lang w:val="el-GR" w:eastAsia="el-GR"/>
    </w:rPr>
  </w:style>
  <w:style w:type="character" w:customStyle="1" w:styleId="Heading8Char">
    <w:name w:val="Heading 8 Char"/>
    <w:basedOn w:val="DefaultParagraphFont"/>
    <w:link w:val="Heading8"/>
    <w:uiPriority w:val="99"/>
    <w:locked/>
    <w:rsid w:val="00E2673F"/>
    <w:rPr>
      <w:rFonts w:ascii="Calibri" w:hAnsi="Calibri"/>
      <w:i/>
      <w:iCs/>
      <w:sz w:val="24"/>
      <w:szCs w:val="24"/>
      <w:lang w:val="el-GR" w:eastAsia="el-GR"/>
    </w:rPr>
  </w:style>
  <w:style w:type="character" w:customStyle="1" w:styleId="Heading9Char">
    <w:name w:val="Heading 9 Char"/>
    <w:basedOn w:val="DefaultParagraphFont"/>
    <w:link w:val="Heading9"/>
    <w:uiPriority w:val="99"/>
    <w:locked/>
    <w:rsid w:val="00E2673F"/>
    <w:rPr>
      <w:rFonts w:ascii="Cambria" w:hAnsi="Cambria"/>
      <w:lang w:val="el-GR" w:eastAsia="el-GR"/>
    </w:rPr>
  </w:style>
  <w:style w:type="paragraph" w:styleId="Header">
    <w:name w:val="header"/>
    <w:basedOn w:val="Normal"/>
    <w:link w:val="HeaderChar"/>
    <w:uiPriority w:val="99"/>
    <w:rsid w:val="00E2673F"/>
    <w:pPr>
      <w:tabs>
        <w:tab w:val="center" w:pos="4153"/>
        <w:tab w:val="right" w:pos="8306"/>
      </w:tabs>
    </w:pPr>
  </w:style>
  <w:style w:type="character" w:customStyle="1" w:styleId="HeaderChar">
    <w:name w:val="Header Char"/>
    <w:basedOn w:val="DefaultParagraphFont"/>
    <w:link w:val="Header"/>
    <w:uiPriority w:val="99"/>
    <w:locked/>
    <w:rsid w:val="00E2673F"/>
    <w:rPr>
      <w:rFonts w:ascii="Calibri" w:hAnsi="Calibri" w:cs="Times New Roman"/>
      <w:sz w:val="24"/>
      <w:szCs w:val="24"/>
      <w:lang w:val="el-GR" w:eastAsia="el-GR"/>
    </w:rPr>
  </w:style>
  <w:style w:type="paragraph" w:styleId="Footer">
    <w:name w:val="footer"/>
    <w:basedOn w:val="Normal"/>
    <w:link w:val="FooterChar"/>
    <w:uiPriority w:val="99"/>
    <w:rsid w:val="00E2673F"/>
    <w:pPr>
      <w:tabs>
        <w:tab w:val="center" w:pos="4153"/>
        <w:tab w:val="right" w:pos="8306"/>
      </w:tabs>
    </w:pPr>
  </w:style>
  <w:style w:type="character" w:customStyle="1" w:styleId="FooterChar">
    <w:name w:val="Footer Char"/>
    <w:basedOn w:val="DefaultParagraphFont"/>
    <w:link w:val="Footer"/>
    <w:uiPriority w:val="99"/>
    <w:locked/>
    <w:rsid w:val="00E2673F"/>
    <w:rPr>
      <w:rFonts w:ascii="Calibri" w:hAnsi="Calibri" w:cs="Times New Roman"/>
      <w:sz w:val="24"/>
      <w:szCs w:val="24"/>
      <w:lang w:val="el-GR" w:eastAsia="el-GR"/>
    </w:rPr>
  </w:style>
  <w:style w:type="character" w:styleId="PageNumber">
    <w:name w:val="page number"/>
    <w:basedOn w:val="DefaultParagraphFont"/>
    <w:uiPriority w:val="99"/>
    <w:rsid w:val="00E2673F"/>
    <w:rPr>
      <w:rFonts w:cs="Times New Roman"/>
    </w:rPr>
  </w:style>
  <w:style w:type="table" w:styleId="TableGrid">
    <w:name w:val="Table Grid"/>
    <w:basedOn w:val="TableNormal"/>
    <w:uiPriority w:val="99"/>
    <w:rsid w:val="00E267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itle">
    <w:name w:val="Main Title"/>
    <w:basedOn w:val="Normal"/>
    <w:qFormat/>
    <w:rsid w:val="00E2673F"/>
    <w:pPr>
      <w:spacing w:line="240" w:lineRule="auto"/>
      <w:jc w:val="center"/>
    </w:pPr>
    <w:rPr>
      <w:rFonts w:ascii="Garamond" w:hAnsi="Garamond"/>
      <w:b/>
      <w:color w:val="404040"/>
      <w:spacing w:val="40"/>
      <w:sz w:val="40"/>
      <w:u w:color="D9D9D9"/>
    </w:rPr>
  </w:style>
  <w:style w:type="table" w:styleId="TableList1">
    <w:name w:val="Table List 1"/>
    <w:basedOn w:val="TableNormal"/>
    <w:uiPriority w:val="99"/>
    <w:rsid w:val="00E2673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uiPriority w:val="99"/>
    <w:rsid w:val="00E2673F"/>
    <w:rPr>
      <w:rFonts w:cs="Times New Roman"/>
      <w:color w:val="0000FF"/>
      <w:u w:val="single"/>
    </w:rPr>
  </w:style>
  <w:style w:type="paragraph" w:styleId="NormalWeb">
    <w:name w:val="Normal (Web)"/>
    <w:basedOn w:val="Normal"/>
    <w:uiPriority w:val="99"/>
    <w:rsid w:val="00E2673F"/>
    <w:pPr>
      <w:spacing w:before="100" w:beforeAutospacing="1" w:after="100" w:afterAutospacing="1" w:line="360" w:lineRule="atLeast"/>
    </w:pPr>
  </w:style>
  <w:style w:type="paragraph" w:customStyle="1" w:styleId="Titel1">
    <w:name w:val="Titel1"/>
    <w:basedOn w:val="Normal"/>
    <w:uiPriority w:val="99"/>
    <w:rsid w:val="00E2673F"/>
    <w:pPr>
      <w:pBdr>
        <w:bottom w:val="single" w:sz="8" w:space="1" w:color="BFBFBF"/>
      </w:pBdr>
    </w:pPr>
    <w:rPr>
      <w:b/>
      <w:sz w:val="26"/>
    </w:rPr>
  </w:style>
  <w:style w:type="paragraph" w:customStyle="1" w:styleId="SectionsHeader">
    <w:name w:val="Sections Header"/>
    <w:basedOn w:val="Normal"/>
    <w:link w:val="SectionsHeaderChar"/>
    <w:uiPriority w:val="99"/>
    <w:rsid w:val="00E2673F"/>
    <w:pPr>
      <w:pBdr>
        <w:top w:val="single" w:sz="8" w:space="1" w:color="BFBFBF"/>
        <w:left w:val="single" w:sz="48" w:space="4" w:color="BFBFBF"/>
        <w:bottom w:val="single" w:sz="8" w:space="1" w:color="BFBFBF"/>
        <w:right w:val="single" w:sz="8" w:space="4" w:color="BFBFBF"/>
      </w:pBdr>
      <w:shd w:val="clear" w:color="auto" w:fill="F2F2F2"/>
      <w:spacing w:line="480" w:lineRule="auto"/>
      <w:ind w:left="227"/>
    </w:pPr>
    <w:rPr>
      <w:sz w:val="24"/>
    </w:rPr>
  </w:style>
  <w:style w:type="character" w:styleId="FollowedHyperlink">
    <w:name w:val="FollowedHyperlink"/>
    <w:basedOn w:val="DefaultParagraphFont"/>
    <w:uiPriority w:val="99"/>
    <w:rsid w:val="00E2673F"/>
    <w:rPr>
      <w:rFonts w:cs="Times New Roman"/>
      <w:color w:val="800080"/>
      <w:u w:val="single"/>
    </w:rPr>
  </w:style>
  <w:style w:type="paragraph" w:styleId="ListBullet">
    <w:name w:val="List Bullet"/>
    <w:basedOn w:val="Normal"/>
    <w:uiPriority w:val="99"/>
    <w:rsid w:val="00E2673F"/>
    <w:pPr>
      <w:numPr>
        <w:numId w:val="3"/>
      </w:numPr>
      <w:tabs>
        <w:tab w:val="left" w:pos="357"/>
      </w:tabs>
      <w:jc w:val="both"/>
    </w:pPr>
    <w:rPr>
      <w:szCs w:val="20"/>
      <w:lang w:eastAsia="en-US"/>
    </w:rPr>
  </w:style>
  <w:style w:type="paragraph" w:customStyle="1" w:styleId="StyleSectionsHeaderBold">
    <w:name w:val="Style Sections Header + Bold"/>
    <w:basedOn w:val="SectionsHeader"/>
    <w:link w:val="StyleSectionsHeaderBoldChar"/>
    <w:uiPriority w:val="99"/>
    <w:rsid w:val="00E2673F"/>
    <w:rPr>
      <w:b/>
      <w:bCs/>
      <w:sz w:val="20"/>
    </w:rPr>
  </w:style>
  <w:style w:type="character" w:customStyle="1" w:styleId="SectionsHeaderChar">
    <w:name w:val="Sections Header Char"/>
    <w:link w:val="SectionsHeader"/>
    <w:uiPriority w:val="99"/>
    <w:locked/>
    <w:rsid w:val="00E2673F"/>
    <w:rPr>
      <w:rFonts w:ascii="Calibri" w:hAnsi="Calibri"/>
      <w:sz w:val="24"/>
      <w:shd w:val="clear" w:color="auto" w:fill="F2F2F2"/>
      <w:lang w:val="el-GR" w:eastAsia="el-GR"/>
    </w:rPr>
  </w:style>
  <w:style w:type="character" w:customStyle="1" w:styleId="StyleSectionsHeaderBoldChar">
    <w:name w:val="Style Sections Header + Bold Char"/>
    <w:link w:val="StyleSectionsHeaderBold"/>
    <w:uiPriority w:val="99"/>
    <w:locked/>
    <w:rsid w:val="00E2673F"/>
    <w:rPr>
      <w:rFonts w:ascii="Calibri" w:hAnsi="Calibri"/>
      <w:b/>
      <w:sz w:val="24"/>
      <w:shd w:val="clear" w:color="auto" w:fill="F2F2F2"/>
      <w:lang w:val="el-GR" w:eastAsia="el-GR"/>
    </w:rPr>
  </w:style>
  <w:style w:type="paragraph" w:styleId="TOC1">
    <w:name w:val="toc 1"/>
    <w:basedOn w:val="Normal"/>
    <w:next w:val="Normal"/>
    <w:autoRedefine/>
    <w:uiPriority w:val="39"/>
    <w:rsid w:val="00E2673F"/>
    <w:rPr>
      <w:rFonts w:ascii="Tahoma" w:hAnsi="Tahoma"/>
      <w:b/>
      <w:bCs/>
      <w:color w:val="595959"/>
      <w:szCs w:val="20"/>
    </w:rPr>
  </w:style>
  <w:style w:type="paragraph" w:styleId="TOC2">
    <w:name w:val="toc 2"/>
    <w:basedOn w:val="Normal"/>
    <w:next w:val="Normal"/>
    <w:autoRedefine/>
    <w:uiPriority w:val="99"/>
    <w:rsid w:val="00E2673F"/>
    <w:pPr>
      <w:tabs>
        <w:tab w:val="left" w:pos="880"/>
        <w:tab w:val="right" w:leader="dot" w:pos="9628"/>
      </w:tabs>
      <w:ind w:left="200"/>
      <w:jc w:val="both"/>
    </w:pPr>
    <w:rPr>
      <w:rFonts w:ascii="Tahoma" w:hAnsi="Tahoma"/>
      <w:color w:val="595959"/>
      <w:szCs w:val="20"/>
    </w:rPr>
  </w:style>
  <w:style w:type="paragraph" w:styleId="TOC3">
    <w:name w:val="toc 3"/>
    <w:basedOn w:val="Normal"/>
    <w:next w:val="Normal"/>
    <w:autoRedefine/>
    <w:uiPriority w:val="99"/>
    <w:rsid w:val="00E2673F"/>
    <w:pPr>
      <w:ind w:left="400"/>
    </w:pPr>
    <w:rPr>
      <w:rFonts w:ascii="Tahoma" w:hAnsi="Tahoma"/>
      <w:i/>
      <w:iCs/>
      <w:color w:val="595959"/>
      <w:szCs w:val="20"/>
    </w:rPr>
  </w:style>
  <w:style w:type="paragraph" w:customStyle="1" w:styleId="StyleTitleTOC">
    <w:name w:val="Style Title TOC"/>
    <w:basedOn w:val="Titel1"/>
    <w:rsid w:val="00E2673F"/>
    <w:pPr>
      <w:pBdr>
        <w:bottom w:val="none" w:sz="0" w:space="0" w:color="auto"/>
      </w:pBdr>
      <w:jc w:val="center"/>
    </w:pPr>
    <w:rPr>
      <w:sz w:val="22"/>
    </w:rPr>
  </w:style>
  <w:style w:type="paragraph" w:styleId="BalloonText">
    <w:name w:val="Balloon Text"/>
    <w:basedOn w:val="Normal"/>
    <w:link w:val="BalloonTextChar"/>
    <w:uiPriority w:val="99"/>
    <w:rsid w:val="00E2673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2673F"/>
    <w:rPr>
      <w:rFonts w:ascii="Tahoma" w:hAnsi="Tahoma" w:cs="Tahoma"/>
      <w:sz w:val="16"/>
      <w:szCs w:val="16"/>
      <w:lang w:val="el-GR" w:eastAsia="el-GR"/>
    </w:rPr>
  </w:style>
  <w:style w:type="paragraph" w:styleId="NoSpacing">
    <w:name w:val="No Spacing"/>
    <w:link w:val="NoSpacingChar"/>
    <w:uiPriority w:val="99"/>
    <w:qFormat/>
    <w:rsid w:val="00E2673F"/>
    <w:rPr>
      <w:rFonts w:ascii="Calibri" w:hAnsi="Calibri"/>
      <w:lang w:val="en-US" w:eastAsia="en-US"/>
    </w:rPr>
  </w:style>
  <w:style w:type="character" w:customStyle="1" w:styleId="NoSpacingChar">
    <w:name w:val="No Spacing Char"/>
    <w:link w:val="NoSpacing"/>
    <w:uiPriority w:val="99"/>
    <w:locked/>
    <w:rsid w:val="00E2673F"/>
    <w:rPr>
      <w:rFonts w:ascii="Calibri" w:hAnsi="Calibri"/>
      <w:sz w:val="22"/>
      <w:lang w:val="en-US" w:eastAsia="en-US"/>
    </w:rPr>
  </w:style>
  <w:style w:type="paragraph" w:styleId="BodyText">
    <w:name w:val="Body Text"/>
    <w:basedOn w:val="Normal"/>
    <w:link w:val="BodyTextChar"/>
    <w:uiPriority w:val="99"/>
    <w:rsid w:val="00E2673F"/>
    <w:pPr>
      <w:spacing w:before="0" w:line="276" w:lineRule="auto"/>
    </w:pPr>
    <w:rPr>
      <w:szCs w:val="22"/>
      <w:lang w:val="de-DE" w:eastAsia="en-US"/>
    </w:rPr>
  </w:style>
  <w:style w:type="character" w:customStyle="1" w:styleId="BodyTextChar">
    <w:name w:val="Body Text Char"/>
    <w:basedOn w:val="DefaultParagraphFont"/>
    <w:link w:val="BodyText"/>
    <w:uiPriority w:val="99"/>
    <w:locked/>
    <w:rsid w:val="00E2673F"/>
    <w:rPr>
      <w:rFonts w:ascii="Calibri" w:hAnsi="Calibri" w:cs="Times New Roman"/>
      <w:sz w:val="22"/>
      <w:szCs w:val="22"/>
      <w:lang w:eastAsia="en-US"/>
    </w:rPr>
  </w:style>
  <w:style w:type="character" w:styleId="EndnoteReference">
    <w:name w:val="endnote reference"/>
    <w:basedOn w:val="DefaultParagraphFont"/>
    <w:uiPriority w:val="99"/>
    <w:rsid w:val="00E2673F"/>
    <w:rPr>
      <w:rFonts w:cs="Times New Roman"/>
      <w:vertAlign w:val="superscript"/>
    </w:rPr>
  </w:style>
  <w:style w:type="paragraph" w:customStyle="1" w:styleId="Didacticremark">
    <w:name w:val="Didactic remark"/>
    <w:basedOn w:val="BodyText"/>
    <w:uiPriority w:val="99"/>
    <w:rsid w:val="00E2673F"/>
    <w:pPr>
      <w:numPr>
        <w:numId w:val="33"/>
      </w:numPr>
      <w:tabs>
        <w:tab w:val="left" w:pos="425"/>
      </w:tabs>
    </w:pPr>
    <w:rPr>
      <w:i/>
      <w:szCs w:val="18"/>
      <w:lang w:val="en-US"/>
    </w:rPr>
  </w:style>
  <w:style w:type="paragraph" w:customStyle="1" w:styleId="DidacticremarkVideo">
    <w:name w:val="Didactic remark Video"/>
    <w:basedOn w:val="Didacticremark"/>
    <w:uiPriority w:val="99"/>
    <w:rsid w:val="00E2673F"/>
    <w:pPr>
      <w:numPr>
        <w:numId w:val="34"/>
      </w:numPr>
      <w:ind w:left="360"/>
    </w:pPr>
  </w:style>
  <w:style w:type="paragraph" w:customStyle="1" w:styleId="DidacticremarkNote">
    <w:name w:val="Didactic remark Note"/>
    <w:basedOn w:val="Didacticremark"/>
    <w:qFormat/>
    <w:rsid w:val="00E2673F"/>
    <w:pPr>
      <w:numPr>
        <w:numId w:val="35"/>
      </w:numPr>
    </w:pPr>
  </w:style>
  <w:style w:type="paragraph" w:customStyle="1" w:styleId="DidacticremarkPowerPoint">
    <w:name w:val="Didactic remark PowerPoint"/>
    <w:basedOn w:val="Didacticremark"/>
    <w:uiPriority w:val="99"/>
    <w:rsid w:val="00E2673F"/>
    <w:pPr>
      <w:numPr>
        <w:numId w:val="36"/>
      </w:numPr>
      <w:ind w:left="720"/>
    </w:pPr>
  </w:style>
  <w:style w:type="paragraph" w:customStyle="1" w:styleId="FormatvorlageTextkrperRechts05cm">
    <w:name w:val="Formatvorlage Textkörper + Rechts:  05 cm"/>
    <w:basedOn w:val="BodyText"/>
    <w:uiPriority w:val="99"/>
    <w:rsid w:val="00E2673F"/>
    <w:pPr>
      <w:ind w:right="284"/>
    </w:pPr>
    <w:rPr>
      <w:szCs w:val="20"/>
    </w:rPr>
  </w:style>
  <w:style w:type="paragraph" w:styleId="Quote">
    <w:name w:val="Quote"/>
    <w:basedOn w:val="Normal"/>
    <w:next w:val="Normal"/>
    <w:link w:val="QuoteChar"/>
    <w:uiPriority w:val="99"/>
    <w:qFormat/>
    <w:rsid w:val="00E2673F"/>
    <w:pPr>
      <w:spacing w:before="0" w:after="200" w:line="276" w:lineRule="auto"/>
    </w:pPr>
    <w:rPr>
      <w:i/>
      <w:iCs/>
      <w:color w:val="000000"/>
      <w:szCs w:val="22"/>
      <w:lang w:val="en-GB" w:eastAsia="en-US"/>
    </w:rPr>
  </w:style>
  <w:style w:type="character" w:customStyle="1" w:styleId="QuoteChar">
    <w:name w:val="Quote Char"/>
    <w:basedOn w:val="DefaultParagraphFont"/>
    <w:link w:val="Quote"/>
    <w:uiPriority w:val="99"/>
    <w:locked/>
    <w:rsid w:val="00E2673F"/>
    <w:rPr>
      <w:rFonts w:ascii="Calibri" w:eastAsia="Times New Roman" w:hAnsi="Calibri" w:cs="Times New Roman"/>
      <w:i/>
      <w:iCs/>
      <w:color w:val="000000"/>
      <w:sz w:val="22"/>
      <w:szCs w:val="22"/>
      <w:lang w:val="en-GB" w:eastAsia="en-US"/>
    </w:rPr>
  </w:style>
  <w:style w:type="paragraph" w:styleId="ListParagraph">
    <w:name w:val="List Paragraph"/>
    <w:basedOn w:val="Normal"/>
    <w:uiPriority w:val="99"/>
    <w:qFormat/>
    <w:rsid w:val="00E2673F"/>
    <w:pPr>
      <w:spacing w:before="0" w:after="200" w:line="276" w:lineRule="auto"/>
      <w:ind w:left="720"/>
      <w:contextualSpacing/>
    </w:pPr>
    <w:rPr>
      <w:szCs w:val="22"/>
      <w:lang w:val="de-DE" w:eastAsia="en-US"/>
    </w:rPr>
  </w:style>
  <w:style w:type="paragraph" w:customStyle="1" w:styleId="DidacticremarkCrossreference">
    <w:name w:val="Didactic remark Crossreference"/>
    <w:basedOn w:val="DidacticremarkNote"/>
    <w:uiPriority w:val="99"/>
    <w:rsid w:val="00E2673F"/>
    <w:pPr>
      <w:numPr>
        <w:numId w:val="40"/>
      </w:numPr>
    </w:pPr>
    <w:rPr>
      <w:shd w:val="clear" w:color="auto" w:fill="FFFFFF"/>
    </w:rPr>
  </w:style>
  <w:style w:type="paragraph" w:styleId="FootnoteText">
    <w:name w:val="footnote text"/>
    <w:basedOn w:val="Normal"/>
    <w:link w:val="FootnoteTextChar"/>
    <w:uiPriority w:val="99"/>
    <w:rsid w:val="001D791F"/>
    <w:pPr>
      <w:spacing w:before="0" w:after="0" w:line="240" w:lineRule="auto"/>
    </w:pPr>
    <w:rPr>
      <w:sz w:val="20"/>
      <w:szCs w:val="20"/>
    </w:rPr>
  </w:style>
  <w:style w:type="character" w:customStyle="1" w:styleId="FootnoteTextChar">
    <w:name w:val="Footnote Text Char"/>
    <w:basedOn w:val="DefaultParagraphFont"/>
    <w:link w:val="FootnoteText"/>
    <w:uiPriority w:val="99"/>
    <w:locked/>
    <w:rsid w:val="001D791F"/>
    <w:rPr>
      <w:rFonts w:ascii="Calibri" w:hAnsi="Calibri" w:cs="Times New Roman"/>
      <w:lang w:val="el-GR" w:eastAsia="el-GR"/>
    </w:rPr>
  </w:style>
  <w:style w:type="character" w:styleId="FootnoteReference">
    <w:name w:val="footnote reference"/>
    <w:basedOn w:val="DefaultParagraphFont"/>
    <w:uiPriority w:val="99"/>
    <w:rsid w:val="001D791F"/>
    <w:rPr>
      <w:rFonts w:cs="Times New Roman"/>
      <w:vertAlign w:val="superscript"/>
    </w:rPr>
  </w:style>
  <w:style w:type="numbering" w:customStyle="1" w:styleId="References">
    <w:name w:val="References"/>
    <w:rsid w:val="00595664"/>
    <w:pPr>
      <w:numPr>
        <w:numId w:val="5"/>
      </w:numPr>
    </w:pPr>
  </w:style>
  <w:style w:type="numbering" w:customStyle="1" w:styleId="ref">
    <w:name w:val="ref"/>
    <w:rsid w:val="00595664"/>
    <w:pPr>
      <w:numPr>
        <w:numId w:val="6"/>
      </w:numPr>
    </w:pPr>
  </w:style>
  <w:style w:type="numbering" w:customStyle="1" w:styleId="references0">
    <w:name w:val="references"/>
    <w:rsid w:val="00595664"/>
    <w:pPr>
      <w:numPr>
        <w:numId w:val="4"/>
      </w:numPr>
    </w:pPr>
  </w:style>
  <w:style w:type="character" w:styleId="CommentReference">
    <w:name w:val="annotation reference"/>
    <w:basedOn w:val="DefaultParagraphFont"/>
    <w:uiPriority w:val="99"/>
    <w:semiHidden/>
    <w:unhideWhenUsed/>
    <w:rsid w:val="000E10EB"/>
    <w:rPr>
      <w:sz w:val="16"/>
      <w:szCs w:val="16"/>
    </w:rPr>
  </w:style>
  <w:style w:type="paragraph" w:styleId="CommentText">
    <w:name w:val="annotation text"/>
    <w:basedOn w:val="Normal"/>
    <w:link w:val="CommentTextChar"/>
    <w:uiPriority w:val="99"/>
    <w:semiHidden/>
    <w:unhideWhenUsed/>
    <w:rsid w:val="000E10EB"/>
    <w:pPr>
      <w:spacing w:line="240" w:lineRule="auto"/>
    </w:pPr>
    <w:rPr>
      <w:sz w:val="20"/>
      <w:szCs w:val="20"/>
    </w:rPr>
  </w:style>
  <w:style w:type="character" w:customStyle="1" w:styleId="CommentTextChar">
    <w:name w:val="Comment Text Char"/>
    <w:basedOn w:val="DefaultParagraphFont"/>
    <w:link w:val="CommentText"/>
    <w:uiPriority w:val="99"/>
    <w:semiHidden/>
    <w:rsid w:val="000E10EB"/>
    <w:rPr>
      <w:rFonts w:ascii="Calibri" w:hAnsi="Calibri"/>
      <w:sz w:val="20"/>
      <w:szCs w:val="20"/>
      <w:lang w:val="el-GR" w:eastAsia="el-GR"/>
    </w:rPr>
  </w:style>
  <w:style w:type="paragraph" w:styleId="CommentSubject">
    <w:name w:val="annotation subject"/>
    <w:basedOn w:val="CommentText"/>
    <w:next w:val="CommentText"/>
    <w:link w:val="CommentSubjectChar"/>
    <w:uiPriority w:val="99"/>
    <w:semiHidden/>
    <w:unhideWhenUsed/>
    <w:rsid w:val="000E10EB"/>
    <w:rPr>
      <w:b/>
      <w:bCs/>
    </w:rPr>
  </w:style>
  <w:style w:type="character" w:customStyle="1" w:styleId="CommentSubjectChar">
    <w:name w:val="Comment Subject Char"/>
    <w:basedOn w:val="CommentTextChar"/>
    <w:link w:val="CommentSubject"/>
    <w:uiPriority w:val="99"/>
    <w:semiHidden/>
    <w:rsid w:val="000E10EB"/>
    <w:rPr>
      <w:rFonts w:ascii="Calibri" w:hAnsi="Calibri"/>
      <w:b/>
      <w:bCs/>
      <w:sz w:val="20"/>
      <w:szCs w:val="20"/>
      <w:lang w:val="el-GR" w:eastAsia="el-GR"/>
    </w:rPr>
  </w:style>
  <w:style w:type="paragraph" w:styleId="Revision">
    <w:name w:val="Revision"/>
    <w:hidden/>
    <w:uiPriority w:val="99"/>
    <w:semiHidden/>
    <w:rsid w:val="000E10EB"/>
    <w:rPr>
      <w:rFonts w:ascii="Calibri" w:hAnsi="Calibri"/>
      <w:szCs w:val="24"/>
      <w:lang w:val="el-GR" w:eastAsia="el-GR"/>
    </w:rPr>
  </w:style>
  <w:style w:type="paragraph" w:styleId="TOCHeading">
    <w:name w:val="TOC Heading"/>
    <w:basedOn w:val="Heading1"/>
    <w:next w:val="Normal"/>
    <w:uiPriority w:val="39"/>
    <w:unhideWhenUsed/>
    <w:qFormat/>
    <w:rsid w:val="006E622E"/>
    <w:pPr>
      <w:keepLines/>
      <w:numPr>
        <w:numId w:val="0"/>
      </w:numPr>
      <w:pBdr>
        <w:bottom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nc-nd/3.0/"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nc-nd/3.0/" TargetMode="External"/><Relationship Id="rId17" Type="http://schemas.openxmlformats.org/officeDocument/2006/relationships/hyperlink" Target="http://creativecommons.org/licenses/by-nc-nd/3." TargetMode="External"/><Relationship Id="rId2" Type="http://schemas.openxmlformats.org/officeDocument/2006/relationships/numbering" Target="numbering.xml"/><Relationship Id="rId16" Type="http://schemas.openxmlformats.org/officeDocument/2006/relationships/hyperlink" Target="http://creativecommons.org/licenses/by-nc-nd/3.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nd/3.0/" TargetMode="External"/><Relationship Id="rId5" Type="http://schemas.openxmlformats.org/officeDocument/2006/relationships/webSettings" Target="webSettings.xml"/><Relationship Id="rId15" Type="http://schemas.openxmlformats.org/officeDocument/2006/relationships/hyperlink" Target="http://creativecommons.org/licenses/by-nc-nd/3.0/" TargetMode="External"/><Relationship Id="rId10" Type="http://schemas.openxmlformats.org/officeDocument/2006/relationships/hyperlink" Target="http://creativecommons.org/licenses/by-nc-nd/3.0/"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nc-nd/3.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6B5E-6E73-4958-AD6F-90759CAA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17</Pages>
  <Words>4845</Words>
  <Characters>26164</Characters>
  <Application>Microsoft Office Word</Application>
  <DocSecurity>0</DocSecurity>
  <Lines>218</Lines>
  <Paragraphs>61</Paragraphs>
  <ScaleCrop>false</ScaleCrop>
  <HeadingPairs>
    <vt:vector size="6" baseType="variant">
      <vt:variant>
        <vt:lpstr>Title</vt:lpstr>
      </vt:variant>
      <vt:variant>
        <vt:i4>1</vt:i4>
      </vt:variant>
      <vt:variant>
        <vt:lpstr>Τίτλος</vt:lpstr>
      </vt:variant>
      <vt:variant>
        <vt:i4>1</vt:i4>
      </vt:variant>
      <vt:variant>
        <vt:lpstr>Titel</vt:lpstr>
      </vt:variant>
      <vt:variant>
        <vt:i4>1</vt:i4>
      </vt:variant>
    </vt:vector>
  </HeadingPairs>
  <TitlesOfParts>
    <vt:vector size="3" baseType="lpstr">
      <vt:lpstr/>
      <vt:lpstr/>
      <vt:lpstr/>
    </vt:vector>
  </TitlesOfParts>
  <Company>-</Company>
  <LinksUpToDate>false</LinksUpToDate>
  <CharactersWithSpaces>30948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bimw9</dc:creator>
  <cp:keywords/>
  <dc:description/>
  <cp:lastModifiedBy>pantelis</cp:lastModifiedBy>
  <cp:revision>33</cp:revision>
  <cp:lastPrinted>2013-05-26T17:28:00Z</cp:lastPrinted>
  <dcterms:created xsi:type="dcterms:W3CDTF">2013-01-15T13:52:00Z</dcterms:created>
  <dcterms:modified xsi:type="dcterms:W3CDTF">2013-05-26T17:28:00Z</dcterms:modified>
</cp:coreProperties>
</file>