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6E" w:rsidRDefault="0058246E" w:rsidP="001573F3">
      <w:pPr>
        <w:pStyle w:val="1"/>
      </w:pPr>
      <w:r>
        <w:rPr>
          <w:rFonts w:ascii="Verdana" w:hAnsi="Verdana"/>
          <w:noProof/>
          <w:lang w:val="el-GR" w:eastAsia="el-GR"/>
        </w:rPr>
        <w:drawing>
          <wp:inline distT="0" distB="0" distL="0" distR="0">
            <wp:extent cx="1524000" cy="678180"/>
            <wp:effectExtent l="0" t="0" r="0" b="7620"/>
            <wp:docPr id="1" name="Picture 1" descr="Description: 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C9" w:rsidRDefault="001135C9" w:rsidP="0058246E">
      <w:pPr>
        <w:pStyle w:val="2"/>
        <w:rPr>
          <w:i w:val="0"/>
          <w:iCs w:val="0"/>
          <w:kern w:val="32"/>
          <w:sz w:val="36"/>
          <w:szCs w:val="32"/>
          <w:lang w:val="el-GR"/>
        </w:rPr>
      </w:pPr>
      <w:r>
        <w:rPr>
          <w:i w:val="0"/>
          <w:iCs w:val="0"/>
          <w:kern w:val="32"/>
          <w:sz w:val="36"/>
          <w:szCs w:val="32"/>
          <w:lang w:val="el-GR"/>
        </w:rPr>
        <w:t>Διεπιστημονική μάθηση στο Π</w:t>
      </w:r>
      <w:r w:rsidRPr="001135C9">
        <w:rPr>
          <w:i w:val="0"/>
          <w:iCs w:val="0"/>
          <w:kern w:val="32"/>
          <w:sz w:val="36"/>
          <w:szCs w:val="32"/>
          <w:lang w:val="el-GR"/>
        </w:rPr>
        <w:t>ρωτόκολλο της Κωνσταντινούπολης</w:t>
      </w:r>
    </w:p>
    <w:p w:rsidR="00C8443C" w:rsidRPr="001135C9" w:rsidRDefault="001135C9">
      <w:pPr>
        <w:rPr>
          <w:lang w:val="el-GR"/>
        </w:rPr>
      </w:pPr>
      <w:r w:rsidRPr="001135C9">
        <w:rPr>
          <w:rFonts w:asciiTheme="majorHAnsi" w:eastAsiaTheme="majorEastAsia" w:hAnsiTheme="majorHAnsi" w:cstheme="majorBidi"/>
          <w:bCs/>
          <w:iCs/>
          <w:sz w:val="28"/>
          <w:szCs w:val="28"/>
          <w:lang w:val="el-GR"/>
        </w:rPr>
        <w:t xml:space="preserve">Γιατί είναι </w:t>
      </w:r>
      <w:r>
        <w:rPr>
          <w:rFonts w:asciiTheme="majorHAnsi" w:eastAsiaTheme="majorEastAsia" w:hAnsiTheme="majorHAnsi" w:cstheme="majorBidi"/>
          <w:bCs/>
          <w:iCs/>
          <w:sz w:val="28"/>
          <w:szCs w:val="28"/>
          <w:lang w:val="el-GR"/>
        </w:rPr>
        <w:t xml:space="preserve">η </w:t>
      </w:r>
      <w:r w:rsidRPr="001135C9">
        <w:rPr>
          <w:rFonts w:asciiTheme="majorHAnsi" w:eastAsiaTheme="majorEastAsia" w:hAnsiTheme="majorHAnsi" w:cstheme="majorBidi"/>
          <w:bCs/>
          <w:iCs/>
          <w:sz w:val="28"/>
          <w:szCs w:val="28"/>
          <w:lang w:val="el-GR"/>
        </w:rPr>
        <w:t>διεπιστημονική μάθηση και συνεργασία απαραίτητη για την αξιολόγηση των θυμάτων βασανιστηρίων;</w:t>
      </w:r>
    </w:p>
    <w:p w:rsidR="001135C9" w:rsidRDefault="001135C9">
      <w:pPr>
        <w:rPr>
          <w:lang w:val="el-GR"/>
        </w:rPr>
      </w:pPr>
      <w:r w:rsidRPr="001135C9">
        <w:rPr>
          <w:lang w:val="el-GR"/>
        </w:rPr>
        <w:t xml:space="preserve">Το Πρωτόκολλο της Κωνσταντινούπολης αναπτύχθηκε ως ένα </w:t>
      </w:r>
      <w:r>
        <w:rPr>
          <w:lang w:val="el-GR"/>
        </w:rPr>
        <w:t>διεπιστημονικό πρότυπο</w:t>
      </w:r>
      <w:r w:rsidRPr="001135C9">
        <w:rPr>
          <w:lang w:val="el-GR"/>
        </w:rPr>
        <w:t xml:space="preserve"> από μια διεθνή ομάδα από ένα</w:t>
      </w:r>
      <w:r>
        <w:rPr>
          <w:lang w:val="el-GR"/>
        </w:rPr>
        <w:t>ν</w:t>
      </w:r>
      <w:r w:rsidRPr="001135C9">
        <w:rPr>
          <w:lang w:val="el-GR"/>
        </w:rPr>
        <w:t xml:space="preserve"> μεγάλο αριθμό επαγγελμάτων. Η προσέγγιση αυτή ήταν αναγκαία, καθώς </w:t>
      </w:r>
      <w:r>
        <w:rPr>
          <w:lang w:val="el-GR"/>
        </w:rPr>
        <w:t xml:space="preserve">η </w:t>
      </w:r>
      <w:r w:rsidRPr="001135C9">
        <w:rPr>
          <w:lang w:val="el-GR"/>
        </w:rPr>
        <w:t>διερεύνηση των βασανιστηρίων αποτελείται από μια σειρά νομικ</w:t>
      </w:r>
      <w:r>
        <w:rPr>
          <w:lang w:val="el-GR"/>
        </w:rPr>
        <w:t>ών ενε</w:t>
      </w:r>
      <w:r w:rsidRPr="001135C9">
        <w:rPr>
          <w:lang w:val="el-GR"/>
        </w:rPr>
        <w:t>ργει</w:t>
      </w:r>
      <w:r>
        <w:rPr>
          <w:lang w:val="el-GR"/>
        </w:rPr>
        <w:t xml:space="preserve">ών, αλλά συνήθως </w:t>
      </w:r>
      <w:r w:rsidRPr="001135C9">
        <w:rPr>
          <w:lang w:val="el-GR"/>
        </w:rPr>
        <w:t xml:space="preserve">στοχεύει </w:t>
      </w:r>
      <w:r>
        <w:rPr>
          <w:lang w:val="el-GR"/>
        </w:rPr>
        <w:t>επίσης στην απόσπαση στοιχείων βασισμένων</w:t>
      </w:r>
      <w:r w:rsidRPr="001135C9">
        <w:rPr>
          <w:lang w:val="el-GR"/>
        </w:rPr>
        <w:t xml:space="preserve"> σε ψυχολογικά και σωματικά επακόλουθα. Αυτό δημιουργεί μια κατάσταση όπου απαιτείται μια ασυνή</w:t>
      </w:r>
      <w:r>
        <w:rPr>
          <w:lang w:val="el-GR"/>
        </w:rPr>
        <w:t xml:space="preserve">θιστα στενή συνεργασία κυρίως </w:t>
      </w:r>
      <w:r w:rsidRPr="001135C9">
        <w:rPr>
          <w:lang w:val="el-GR"/>
        </w:rPr>
        <w:t>μεταξύ τη</w:t>
      </w:r>
      <w:r>
        <w:rPr>
          <w:lang w:val="el-GR"/>
        </w:rPr>
        <w:t>ς υγειονομικής περίθαλψης και των νομικών επαγγελματιών</w:t>
      </w:r>
      <w:r w:rsidRPr="001135C9">
        <w:rPr>
          <w:lang w:val="el-GR"/>
        </w:rPr>
        <w:t>.</w:t>
      </w:r>
    </w:p>
    <w:p w:rsidR="001135C9" w:rsidRPr="001135C9" w:rsidRDefault="001135C9" w:rsidP="001135C9">
      <w:pPr>
        <w:rPr>
          <w:lang w:val="el-GR"/>
        </w:rPr>
      </w:pPr>
      <w:r>
        <w:rPr>
          <w:lang w:val="el-GR"/>
        </w:rPr>
        <w:t xml:space="preserve">Η κατανόηση για </w:t>
      </w:r>
      <w:r w:rsidRPr="001135C9">
        <w:rPr>
          <w:lang w:val="el-GR"/>
        </w:rPr>
        <w:t xml:space="preserve">τις αντίστοιχες συνθήκες εργασίας, την πίστη και </w:t>
      </w:r>
      <w:r>
        <w:rPr>
          <w:lang w:val="el-GR"/>
        </w:rPr>
        <w:t xml:space="preserve">τα </w:t>
      </w:r>
      <w:r w:rsidRPr="001135C9">
        <w:rPr>
          <w:lang w:val="el-GR"/>
        </w:rPr>
        <w:t>πρότυπα αντίληψη</w:t>
      </w:r>
      <w:r>
        <w:rPr>
          <w:lang w:val="el-GR"/>
        </w:rPr>
        <w:t>ς</w:t>
      </w:r>
      <w:r w:rsidRPr="001135C9">
        <w:rPr>
          <w:lang w:val="el-GR"/>
        </w:rPr>
        <w:t xml:space="preserve"> και τις προσδοκίες για το άλλο επάγγελμα</w:t>
      </w:r>
      <w:r>
        <w:rPr>
          <w:lang w:val="el-GR"/>
        </w:rPr>
        <w:t xml:space="preserve"> είναι</w:t>
      </w:r>
      <w:r w:rsidRPr="001135C9">
        <w:rPr>
          <w:lang w:val="el-GR"/>
        </w:rPr>
        <w:t xml:space="preserve"> ως εκ τούτου κρίσιμη πτυχή στο έρ</w:t>
      </w:r>
      <w:r w:rsidR="00242540">
        <w:rPr>
          <w:lang w:val="el-GR"/>
        </w:rPr>
        <w:t>γο μιας διεπιστημονικής ομάδας.</w:t>
      </w:r>
    </w:p>
    <w:p w:rsidR="001135C9" w:rsidRPr="001135C9" w:rsidRDefault="001135C9" w:rsidP="001135C9">
      <w:pPr>
        <w:rPr>
          <w:lang w:val="el-GR"/>
        </w:rPr>
      </w:pPr>
      <w:r w:rsidRPr="001135C9">
        <w:rPr>
          <w:lang w:val="el-GR"/>
        </w:rPr>
        <w:t>Μόνο μια ολοκληρωμένη στρατηγική που θα λαμβάνει υπόψη τις ειδικές απαιτήσεις της εγκληματολογικής ρύθμιση</w:t>
      </w:r>
      <w:r>
        <w:rPr>
          <w:lang w:val="el-GR"/>
        </w:rPr>
        <w:t>ς</w:t>
      </w:r>
      <w:r w:rsidRPr="001135C9">
        <w:rPr>
          <w:lang w:val="el-GR"/>
        </w:rPr>
        <w:t xml:space="preserve"> μπορεί να δώσει καλά αποτελέσματα σε μια έρευνα των βασανιστηρίων.</w:t>
      </w:r>
    </w:p>
    <w:p w:rsidR="001135C9" w:rsidRPr="001135C9" w:rsidRDefault="001135C9" w:rsidP="001135C9">
      <w:pPr>
        <w:rPr>
          <w:lang w:val="el-GR"/>
        </w:rPr>
      </w:pPr>
      <w:r w:rsidRPr="001135C9">
        <w:rPr>
          <w:lang w:val="el-GR"/>
        </w:rPr>
        <w:t>Ακολουθήστε το παράδειγμα</w:t>
      </w:r>
      <w:r w:rsidR="00242540">
        <w:rPr>
          <w:lang w:val="el-GR"/>
        </w:rPr>
        <w:t xml:space="preserve"> μιας</w:t>
      </w:r>
      <w:r w:rsidRPr="001135C9">
        <w:rPr>
          <w:lang w:val="el-GR"/>
        </w:rPr>
        <w:t xml:space="preserve"> πολύ </w:t>
      </w:r>
      <w:r w:rsidR="00242540">
        <w:rPr>
          <w:lang w:val="el-GR"/>
        </w:rPr>
        <w:t>αντιπροσωπευτικής</w:t>
      </w:r>
      <w:r w:rsidRPr="001135C9">
        <w:rPr>
          <w:lang w:val="el-GR"/>
        </w:rPr>
        <w:t xml:space="preserve"> περίπτωση </w:t>
      </w:r>
      <w:r w:rsidR="00242540">
        <w:rPr>
          <w:lang w:val="el-GR"/>
        </w:rPr>
        <w:t xml:space="preserve">για </w:t>
      </w:r>
      <w:r w:rsidRPr="001135C9">
        <w:rPr>
          <w:lang w:val="el-GR"/>
        </w:rPr>
        <w:t>να κατανοήσ</w:t>
      </w:r>
      <w:r w:rsidR="00242540">
        <w:rPr>
          <w:lang w:val="el-GR"/>
        </w:rPr>
        <w:t>ετε</w:t>
      </w:r>
      <w:r w:rsidRPr="001135C9">
        <w:rPr>
          <w:lang w:val="el-GR"/>
        </w:rPr>
        <w:t xml:space="preserve"> τη σημασία μιας τέτοιας προσέγγισης:</w:t>
      </w:r>
    </w:p>
    <w:p w:rsidR="001135C9" w:rsidRDefault="00242540" w:rsidP="001135C9">
      <w:pPr>
        <w:rPr>
          <w:lang w:val="el-GR"/>
        </w:rPr>
      </w:pPr>
      <w:r>
        <w:rPr>
          <w:lang w:val="el-GR"/>
        </w:rPr>
        <w:t>Ένας 25χρονος πολίτης υποστηρίζει ότι ξυλοκοπήθηκε «</w:t>
      </w:r>
      <w:r w:rsidR="001135C9" w:rsidRPr="001135C9">
        <w:rPr>
          <w:lang w:val="el-GR"/>
        </w:rPr>
        <w:t xml:space="preserve">σε όλα τα μέρη του σώματος» από μια ομάδα στρατιωτών. </w:t>
      </w:r>
      <w:r>
        <w:rPr>
          <w:lang w:val="el-GR"/>
        </w:rPr>
        <w:t xml:space="preserve">Ανά περιόδους </w:t>
      </w:r>
      <w:r w:rsidR="001135C9" w:rsidRPr="001135C9">
        <w:rPr>
          <w:lang w:val="el-GR"/>
        </w:rPr>
        <w:t xml:space="preserve">είχε </w:t>
      </w:r>
      <w:r>
        <w:rPr>
          <w:lang w:val="el-GR"/>
        </w:rPr>
        <w:t>χάσει</w:t>
      </w:r>
      <w:r w:rsidR="001135C9" w:rsidRPr="001135C9">
        <w:rPr>
          <w:lang w:val="el-GR"/>
        </w:rPr>
        <w:t xml:space="preserve"> τις αισθήσεις του. </w:t>
      </w:r>
      <w:r>
        <w:rPr>
          <w:lang w:val="el-GR"/>
        </w:rPr>
        <w:t xml:space="preserve">Τώρα πάσχει </w:t>
      </w:r>
      <w:r w:rsidR="001135C9" w:rsidRPr="001135C9">
        <w:rPr>
          <w:lang w:val="el-GR"/>
        </w:rPr>
        <w:t xml:space="preserve">από πονοκεφάλους, δυσκολίες συγκέντρωσης, ευερεθιστότητα, και με δικά του λόγια «απώλεια της συνολικής ενέργειας». </w:t>
      </w:r>
      <w:r>
        <w:rPr>
          <w:lang w:val="el-GR"/>
        </w:rPr>
        <w:t>Ο εισαγγελέας δεν έχει αναλάβει την περ</w:t>
      </w:r>
      <w:r w:rsidR="001135C9" w:rsidRPr="001135C9">
        <w:rPr>
          <w:lang w:val="el-GR"/>
        </w:rPr>
        <w:t xml:space="preserve">ίπτωσή του, λόγω </w:t>
      </w:r>
      <w:r>
        <w:rPr>
          <w:lang w:val="el-GR"/>
        </w:rPr>
        <w:t>των ισχυρισμών</w:t>
      </w:r>
      <w:r w:rsidR="001135C9" w:rsidRPr="001135C9">
        <w:rPr>
          <w:lang w:val="el-GR"/>
        </w:rPr>
        <w:t xml:space="preserve"> των θυμάτων, ότι δεν μπορούσε να θυμηθεί λεπτομέρειες </w:t>
      </w:r>
      <w:r>
        <w:rPr>
          <w:lang w:val="el-GR"/>
        </w:rPr>
        <w:t>της στολής</w:t>
      </w:r>
      <w:r w:rsidR="001135C9" w:rsidRPr="001135C9">
        <w:rPr>
          <w:lang w:val="el-GR"/>
        </w:rPr>
        <w:t xml:space="preserve"> των δραστών, και επειδή ο </w:t>
      </w:r>
      <w:r>
        <w:rPr>
          <w:lang w:val="el-GR"/>
        </w:rPr>
        <w:t>ίδιος αντιφάσκει σε</w:t>
      </w:r>
      <w:r w:rsidR="001135C9" w:rsidRPr="001135C9">
        <w:rPr>
          <w:lang w:val="el-GR"/>
        </w:rPr>
        <w:t xml:space="preserve"> ορισμένες πτυχές της περιγραφής των γεγονότων.</w:t>
      </w:r>
    </w:p>
    <w:p w:rsidR="00242540" w:rsidRDefault="00242540" w:rsidP="001135C9">
      <w:pPr>
        <w:rPr>
          <w:lang w:val="el-GR"/>
        </w:rPr>
      </w:pPr>
    </w:p>
    <w:p w:rsidR="00242540" w:rsidRDefault="00242540">
      <w:pPr>
        <w:rPr>
          <w:lang w:val="el-GR"/>
        </w:rPr>
      </w:pPr>
      <w:r>
        <w:rPr>
          <w:lang w:val="el-GR"/>
        </w:rPr>
        <w:t>Ένας</w:t>
      </w:r>
      <w:r w:rsidRPr="00242540">
        <w:rPr>
          <w:lang w:val="el-GR"/>
        </w:rPr>
        <w:t xml:space="preserve"> ιατροδικαστή</w:t>
      </w:r>
      <w:r>
        <w:rPr>
          <w:lang w:val="el-GR"/>
        </w:rPr>
        <w:t>ς</w:t>
      </w:r>
      <w:r w:rsidRPr="00242540">
        <w:rPr>
          <w:lang w:val="el-GR"/>
        </w:rPr>
        <w:t xml:space="preserve"> ζήτησε να υποβ</w:t>
      </w:r>
      <w:r>
        <w:rPr>
          <w:lang w:val="el-GR"/>
        </w:rPr>
        <w:t>ληθεί</w:t>
      </w:r>
      <w:r w:rsidRPr="00242540">
        <w:rPr>
          <w:lang w:val="el-GR"/>
        </w:rPr>
        <w:t xml:space="preserve"> </w:t>
      </w:r>
      <w:r>
        <w:rPr>
          <w:lang w:val="el-GR"/>
        </w:rPr>
        <w:t>η</w:t>
      </w:r>
      <w:r w:rsidRPr="00242540">
        <w:rPr>
          <w:lang w:val="el-GR"/>
        </w:rPr>
        <w:t xml:space="preserve"> έκθεση στη συζήτηση εάν η υπόθεση </w:t>
      </w:r>
      <w:r>
        <w:rPr>
          <w:lang w:val="el-GR"/>
        </w:rPr>
        <w:t>συζητηθεί και πάλι μετά από ένα χρόνο από τα γεγονότα</w:t>
      </w:r>
      <w:r w:rsidRPr="00242540">
        <w:rPr>
          <w:lang w:val="el-GR"/>
        </w:rPr>
        <w:t xml:space="preserve">, </w:t>
      </w:r>
      <w:r>
        <w:rPr>
          <w:lang w:val="el-GR"/>
        </w:rPr>
        <w:t xml:space="preserve">ανέθεσε </w:t>
      </w:r>
      <w:r w:rsidRPr="00242540">
        <w:rPr>
          <w:lang w:val="el-GR"/>
        </w:rPr>
        <w:t>τον πελάτη</w:t>
      </w:r>
      <w:r>
        <w:rPr>
          <w:lang w:val="el-GR"/>
        </w:rPr>
        <w:t xml:space="preserve"> σε έναν </w:t>
      </w:r>
      <w:r w:rsidRPr="00242540">
        <w:rPr>
          <w:lang w:val="el-GR"/>
        </w:rPr>
        <w:t xml:space="preserve">ψυχίατρο, </w:t>
      </w:r>
      <w:r>
        <w:rPr>
          <w:lang w:val="el-GR"/>
        </w:rPr>
        <w:t>διότι</w:t>
      </w:r>
      <w:r w:rsidRPr="00242540">
        <w:rPr>
          <w:lang w:val="el-GR"/>
        </w:rPr>
        <w:t xml:space="preserve"> ο ίδιος δεν κατάφερε να βρει ουσιαστικ</w:t>
      </w:r>
      <w:r>
        <w:rPr>
          <w:lang w:val="el-GR"/>
        </w:rPr>
        <w:t>ά</w:t>
      </w:r>
      <w:r w:rsidRPr="00242540">
        <w:rPr>
          <w:lang w:val="el-GR"/>
        </w:rPr>
        <w:t xml:space="preserve"> ίχνη των τραυματισμών</w:t>
      </w:r>
      <w:r>
        <w:rPr>
          <w:lang w:val="el-GR"/>
        </w:rPr>
        <w:t>. Ο</w:t>
      </w:r>
      <w:r w:rsidRPr="00242540">
        <w:rPr>
          <w:lang w:val="el-GR"/>
        </w:rPr>
        <w:t xml:space="preserve"> ειδικό</w:t>
      </w:r>
      <w:r>
        <w:rPr>
          <w:lang w:val="el-GR"/>
        </w:rPr>
        <w:t>ς ψυχικής υγείας διέ</w:t>
      </w:r>
      <w:r w:rsidRPr="00242540">
        <w:rPr>
          <w:lang w:val="el-GR"/>
        </w:rPr>
        <w:t>γνωσ</w:t>
      </w:r>
      <w:r>
        <w:rPr>
          <w:lang w:val="el-GR"/>
        </w:rPr>
        <w:t>ε</w:t>
      </w:r>
      <w:r w:rsidRPr="00242540">
        <w:rPr>
          <w:lang w:val="el-GR"/>
        </w:rPr>
        <w:t xml:space="preserve"> </w:t>
      </w:r>
      <w:r>
        <w:rPr>
          <w:lang w:val="el-GR"/>
        </w:rPr>
        <w:t xml:space="preserve">μετατραυματικό </w:t>
      </w:r>
      <w:r w:rsidRPr="00242540">
        <w:rPr>
          <w:lang w:val="el-GR"/>
        </w:rPr>
        <w:t>στρες (</w:t>
      </w:r>
      <w:r w:rsidRPr="00242540">
        <w:t>PTSD</w:t>
      </w:r>
      <w:r w:rsidRPr="00242540">
        <w:rPr>
          <w:lang w:val="el-GR"/>
        </w:rPr>
        <w:t>) και την πιθανή διάγνωση «</w:t>
      </w:r>
      <w:r w:rsidR="00CD4352">
        <w:rPr>
          <w:lang w:val="el-GR"/>
        </w:rPr>
        <w:t xml:space="preserve">σύνδρομο </w:t>
      </w:r>
      <w:r w:rsidRPr="00242540">
        <w:rPr>
          <w:lang w:val="el-GR"/>
        </w:rPr>
        <w:t>μετα</w:t>
      </w:r>
      <w:r w:rsidR="00CD4352">
        <w:rPr>
          <w:lang w:val="el-GR"/>
        </w:rPr>
        <w:t>-διάσεισης»</w:t>
      </w:r>
      <w:r w:rsidRPr="00242540">
        <w:rPr>
          <w:lang w:val="el-GR"/>
        </w:rPr>
        <w:t xml:space="preserve"> (</w:t>
      </w:r>
      <w:r w:rsidRPr="00242540">
        <w:t>PCS</w:t>
      </w:r>
      <w:r w:rsidRPr="00242540">
        <w:rPr>
          <w:lang w:val="el-GR"/>
        </w:rPr>
        <w:t xml:space="preserve">) - ένα τυπικό αποτέλεσμα της </w:t>
      </w:r>
      <w:r w:rsidR="00CD4352">
        <w:rPr>
          <w:lang w:val="el-GR"/>
        </w:rPr>
        <w:t>αμβλέος</w:t>
      </w:r>
      <w:r w:rsidR="00CD4352" w:rsidRPr="00242540">
        <w:rPr>
          <w:lang w:val="el-GR"/>
        </w:rPr>
        <w:t xml:space="preserve"> </w:t>
      </w:r>
      <w:r w:rsidRPr="00242540">
        <w:rPr>
          <w:lang w:val="el-GR"/>
        </w:rPr>
        <w:t xml:space="preserve">εγκεφαλικής βλάβης. </w:t>
      </w:r>
      <w:r w:rsidR="00CD4352" w:rsidRPr="00242540">
        <w:rPr>
          <w:lang w:val="el-GR"/>
        </w:rPr>
        <w:t>Σημειώσ</w:t>
      </w:r>
      <w:r w:rsidR="00CD4352">
        <w:rPr>
          <w:lang w:val="el-GR"/>
        </w:rPr>
        <w:t>ατ</w:t>
      </w:r>
      <w:r w:rsidR="00CD4352" w:rsidRPr="00242540">
        <w:rPr>
          <w:lang w:val="el-GR"/>
        </w:rPr>
        <w:t>ε</w:t>
      </w:r>
      <w:r w:rsidRPr="00242540">
        <w:rPr>
          <w:lang w:val="el-GR"/>
        </w:rPr>
        <w:t xml:space="preserve"> ότι η τελευταία διάγνωση μπορεί να επικυρωθεί με ειδική εξέταση</w:t>
      </w:r>
      <w:r w:rsidR="00CD4352">
        <w:rPr>
          <w:lang w:val="el-GR"/>
        </w:rPr>
        <w:t xml:space="preserve"> (ειδικό έντυπο για ακτίνες Χ, «</w:t>
      </w:r>
      <w:r w:rsidRPr="00242540">
        <w:rPr>
          <w:lang w:val="el-GR"/>
        </w:rPr>
        <w:t>πυρηνικού μαγνητικού συντονισμού (</w:t>
      </w:r>
      <w:r w:rsidRPr="00242540">
        <w:t>NMR</w:t>
      </w:r>
      <w:r w:rsidRPr="00242540">
        <w:rPr>
          <w:lang w:val="el-GR"/>
        </w:rPr>
        <w:t xml:space="preserve">)») του εγκεφάλου, που δεν ήταν </w:t>
      </w:r>
      <w:r w:rsidR="00CD4352">
        <w:rPr>
          <w:lang w:val="el-GR"/>
        </w:rPr>
        <w:t xml:space="preserve">διαθέσιμη τότε </w:t>
      </w:r>
      <w:r w:rsidRPr="00242540">
        <w:rPr>
          <w:lang w:val="el-GR"/>
        </w:rPr>
        <w:t>στην περιοχή, αλλά και ότι τα κλινικά συμπτώματα</w:t>
      </w:r>
      <w:r w:rsidR="00CD4352">
        <w:rPr>
          <w:lang w:val="el-GR"/>
        </w:rPr>
        <w:t xml:space="preserve"> ήταν αρκετά χαρακτηριστικά</w:t>
      </w:r>
      <w:r w:rsidRPr="00242540">
        <w:rPr>
          <w:lang w:val="el-GR"/>
        </w:rPr>
        <w:t xml:space="preserve"> για να δικαιολογήσουν μια προκαταρκτική </w:t>
      </w:r>
      <w:r w:rsidRPr="00242540">
        <w:rPr>
          <w:lang w:val="el-GR"/>
        </w:rPr>
        <w:lastRenderedPageBreak/>
        <w:t>διάγνωση.</w:t>
      </w:r>
      <w:r w:rsidR="00CD4352" w:rsidRPr="00CD4352">
        <w:rPr>
          <w:lang w:val="el-GR"/>
        </w:rPr>
        <w:t xml:space="preserve"> </w:t>
      </w:r>
      <w:r w:rsidR="00CD4352">
        <w:rPr>
          <w:lang w:val="el-GR"/>
        </w:rPr>
        <w:t xml:space="preserve"> </w:t>
      </w:r>
      <w:r w:rsidR="00CD4352" w:rsidRPr="00CD4352">
        <w:rPr>
          <w:lang w:val="el-GR"/>
        </w:rPr>
        <w:t xml:space="preserve">Έχοντας επίγνωση της νομικής ιστορίας της υπόθεσης, ο ίδιος εξήγησε επίσης, ότι </w:t>
      </w:r>
      <w:r w:rsidR="00CD4352">
        <w:rPr>
          <w:lang w:val="el-GR"/>
        </w:rPr>
        <w:t xml:space="preserve">τόσο η </w:t>
      </w:r>
      <w:r w:rsidR="00CD4352" w:rsidRPr="00CD4352">
        <w:rPr>
          <w:lang w:val="el-GR"/>
        </w:rPr>
        <w:t>διαταραχή</w:t>
      </w:r>
      <w:r w:rsidR="00CD4352">
        <w:rPr>
          <w:lang w:val="el-GR"/>
        </w:rPr>
        <w:t xml:space="preserve"> μετατραυματικού στρες όσο και το μετά-διάσεισης σύ</w:t>
      </w:r>
      <w:r w:rsidR="00CD4352" w:rsidRPr="00CD4352">
        <w:rPr>
          <w:lang w:val="el-GR"/>
        </w:rPr>
        <w:t>νδρ</w:t>
      </w:r>
      <w:r w:rsidR="00CD4352">
        <w:rPr>
          <w:lang w:val="el-GR"/>
        </w:rPr>
        <w:t>ομο</w:t>
      </w:r>
      <w:r w:rsidR="00CD4352" w:rsidRPr="00CD4352">
        <w:rPr>
          <w:lang w:val="el-GR"/>
        </w:rPr>
        <w:t xml:space="preserve"> μπορ</w:t>
      </w:r>
      <w:r w:rsidR="00CD4352">
        <w:rPr>
          <w:lang w:val="el-GR"/>
        </w:rPr>
        <w:t xml:space="preserve">ούν να επηρεάσουν </w:t>
      </w:r>
      <w:r w:rsidR="00CD4352" w:rsidRPr="00CD4352">
        <w:rPr>
          <w:lang w:val="el-GR"/>
        </w:rPr>
        <w:t xml:space="preserve">τη μνήμη, </w:t>
      </w:r>
      <w:r w:rsidR="00CD4352">
        <w:rPr>
          <w:lang w:val="el-GR"/>
        </w:rPr>
        <w:t xml:space="preserve">την </w:t>
      </w:r>
      <w:r w:rsidR="00CD4352" w:rsidRPr="00CD4352">
        <w:rPr>
          <w:lang w:val="el-GR"/>
        </w:rPr>
        <w:t xml:space="preserve">ανάκληση μνήμης και </w:t>
      </w:r>
      <w:r w:rsidR="00CD4352">
        <w:rPr>
          <w:lang w:val="el-GR"/>
        </w:rPr>
        <w:t>την συγκέντρωση</w:t>
      </w:r>
      <w:r w:rsidR="00CD4352" w:rsidRPr="00CD4352">
        <w:rPr>
          <w:lang w:val="el-GR"/>
        </w:rPr>
        <w:t xml:space="preserve"> και μπορ</w:t>
      </w:r>
      <w:r w:rsidR="00CD4352">
        <w:rPr>
          <w:lang w:val="el-GR"/>
        </w:rPr>
        <w:t>ούν</w:t>
      </w:r>
      <w:r w:rsidR="00CD4352" w:rsidRPr="00CD4352">
        <w:rPr>
          <w:lang w:val="el-GR"/>
        </w:rPr>
        <w:t xml:space="preserve"> να οδηγήσ</w:t>
      </w:r>
      <w:r w:rsidR="00CD4352">
        <w:rPr>
          <w:lang w:val="el-GR"/>
        </w:rPr>
        <w:t xml:space="preserve">ουν </w:t>
      </w:r>
      <w:r w:rsidR="00CD4352" w:rsidRPr="00CD4352">
        <w:rPr>
          <w:lang w:val="el-GR"/>
        </w:rPr>
        <w:t xml:space="preserve">σε ελλιπή υποβολή </w:t>
      </w:r>
      <w:r w:rsidR="00CD4352">
        <w:rPr>
          <w:lang w:val="el-GR"/>
        </w:rPr>
        <w:t>στοιχείων ή αναμνήσεων κ</w:t>
      </w:r>
      <w:r w:rsidR="00CD4352" w:rsidRPr="00CD4352">
        <w:rPr>
          <w:lang w:val="el-GR"/>
        </w:rPr>
        <w:t xml:space="preserve">αι πιθανές αντιφάσεις. Επιβεβαίωσε επίσης, ότι και οι δύο διαταραχές </w:t>
      </w:r>
      <w:r w:rsidR="00CD4352">
        <w:rPr>
          <w:lang w:val="el-GR"/>
        </w:rPr>
        <w:t>ήταν σε συμφωνία</w:t>
      </w:r>
      <w:r w:rsidR="00CD4352" w:rsidRPr="00CD4352">
        <w:rPr>
          <w:lang w:val="el-GR"/>
        </w:rPr>
        <w:t xml:space="preserve"> με τη μορφή κακοποίησης πο</w:t>
      </w:r>
      <w:r w:rsidR="00F05B47">
        <w:rPr>
          <w:lang w:val="el-GR"/>
        </w:rPr>
        <w:t>υ περιέγραψε</w:t>
      </w:r>
      <w:r w:rsidR="00CD4352" w:rsidRPr="00CD4352">
        <w:rPr>
          <w:lang w:val="el-GR"/>
        </w:rPr>
        <w:t xml:space="preserve"> </w:t>
      </w:r>
      <w:r w:rsidR="00F05B47">
        <w:rPr>
          <w:lang w:val="el-GR"/>
        </w:rPr>
        <w:t xml:space="preserve">ο </w:t>
      </w:r>
      <w:r w:rsidR="00CD4352" w:rsidRPr="00CD4352">
        <w:rPr>
          <w:lang w:val="el-GR"/>
        </w:rPr>
        <w:t xml:space="preserve"> πελάτη</w:t>
      </w:r>
      <w:r w:rsidR="00F05B47">
        <w:rPr>
          <w:lang w:val="el-GR"/>
        </w:rPr>
        <w:t xml:space="preserve">ς, και συνήθως προκαλούνται </w:t>
      </w:r>
      <w:r w:rsidR="00CD4352" w:rsidRPr="00CD4352">
        <w:rPr>
          <w:lang w:val="el-GR"/>
        </w:rPr>
        <w:t>μόνο από αντίστοιχα σοβαρά γεγονότα της ζωής και σωματικής κακοποίησης ή ατυχήματα. Ο εμπειρογνώμο</w:t>
      </w:r>
      <w:r w:rsidR="00F05B47">
        <w:rPr>
          <w:lang w:val="el-GR"/>
        </w:rPr>
        <w:t>νας επιβεβαίωσε περαιτέρω, ότι οι</w:t>
      </w:r>
      <w:r w:rsidR="00CD4352" w:rsidRPr="00CD4352">
        <w:rPr>
          <w:lang w:val="el-GR"/>
        </w:rPr>
        <w:t xml:space="preserve"> ισχυρ</w:t>
      </w:r>
      <w:r w:rsidR="00F05B47">
        <w:rPr>
          <w:lang w:val="el-GR"/>
        </w:rPr>
        <w:t>ές</w:t>
      </w:r>
      <w:r w:rsidR="00CD4352" w:rsidRPr="00CD4352">
        <w:rPr>
          <w:lang w:val="el-GR"/>
        </w:rPr>
        <w:t xml:space="preserve"> αναδρομές στο π</w:t>
      </w:r>
      <w:r w:rsidR="00F05B47">
        <w:rPr>
          <w:lang w:val="el-GR"/>
        </w:rPr>
        <w:t>αρελθόν των ξυλοδαρμών και μια ι</w:t>
      </w:r>
      <w:r w:rsidR="00CD4352" w:rsidRPr="00CD4352">
        <w:rPr>
          <w:lang w:val="el-GR"/>
        </w:rPr>
        <w:t xml:space="preserve">σχυρή αντίδραση </w:t>
      </w:r>
      <w:r w:rsidR="00F05B47">
        <w:rPr>
          <w:lang w:val="el-GR"/>
        </w:rPr>
        <w:t>φόβου σε όλες τις στολές, συμπεριλαμβανομένου του οδηγού</w:t>
      </w:r>
      <w:r w:rsidR="00CD4352" w:rsidRPr="00CD4352">
        <w:rPr>
          <w:lang w:val="el-GR"/>
        </w:rPr>
        <w:t xml:space="preserve"> τρένο</w:t>
      </w:r>
      <w:r w:rsidR="00F05B47">
        <w:rPr>
          <w:lang w:val="el-GR"/>
        </w:rPr>
        <w:t>υ</w:t>
      </w:r>
      <w:r w:rsidR="00CD4352" w:rsidRPr="00CD4352">
        <w:rPr>
          <w:lang w:val="el-GR"/>
        </w:rPr>
        <w:t xml:space="preserve">, </w:t>
      </w:r>
      <w:r w:rsidR="00F05B47">
        <w:rPr>
          <w:lang w:val="el-GR"/>
        </w:rPr>
        <w:t>υποδεικνύουν</w:t>
      </w:r>
      <w:r w:rsidR="00CD4352" w:rsidRPr="00CD4352">
        <w:rPr>
          <w:lang w:val="el-GR"/>
        </w:rPr>
        <w:t xml:space="preserve"> μια συγκεκριμένη αιτιώδη συνάφεια με τα καταγγελλόμενα περιστατικά.</w:t>
      </w:r>
    </w:p>
    <w:p w:rsidR="00F05B47" w:rsidRPr="00F05B47" w:rsidRDefault="00F05B47" w:rsidP="00F05B47">
      <w:pPr>
        <w:rPr>
          <w:lang w:val="el-GR"/>
        </w:rPr>
      </w:pPr>
      <w:r w:rsidRPr="00F05B47">
        <w:rPr>
          <w:lang w:val="el-GR"/>
        </w:rPr>
        <w:t>Η υπόθεση, κατά συνέπεια, αναλήφθηκε, και μετά από αρκετούς μήνες, η αποζημίωση  χορηγήθ</w:t>
      </w:r>
      <w:r>
        <w:rPr>
          <w:lang w:val="el-GR"/>
        </w:rPr>
        <w:t xml:space="preserve">ηκε </w:t>
      </w:r>
      <w:r w:rsidRPr="00F05B47">
        <w:rPr>
          <w:lang w:val="el-GR"/>
        </w:rPr>
        <w:t xml:space="preserve">στο θύμα. Ο δικαστής απεφάνθη ότι οι αντιφάσεις στις προηγούμενες δηλώσεις είχαν </w:t>
      </w:r>
      <w:r>
        <w:rPr>
          <w:lang w:val="el-GR"/>
        </w:rPr>
        <w:t>αιτιολογηθεί</w:t>
      </w:r>
      <w:r w:rsidRPr="00F05B47">
        <w:rPr>
          <w:lang w:val="el-GR"/>
        </w:rPr>
        <w:t xml:space="preserve"> επαρκώς απ</w:t>
      </w:r>
      <w:r>
        <w:rPr>
          <w:lang w:val="el-GR"/>
        </w:rPr>
        <w:t>ό τα ιατρικούς εμπειρογνώμονες.</w:t>
      </w:r>
    </w:p>
    <w:p w:rsidR="00F05B47" w:rsidRDefault="00F05B47" w:rsidP="00F05B47">
      <w:pPr>
        <w:rPr>
          <w:lang w:val="el-GR"/>
        </w:rPr>
      </w:pPr>
      <w:r w:rsidRPr="00F05B47">
        <w:rPr>
          <w:lang w:val="el-GR"/>
        </w:rPr>
        <w:t>Για την καλύτερη κατανόηση του προβλήματος και τις πιθανές λύσεις που υποδεικνύ</w:t>
      </w:r>
      <w:r>
        <w:rPr>
          <w:lang w:val="el-GR"/>
        </w:rPr>
        <w:t>ονται</w:t>
      </w:r>
      <w:r w:rsidRPr="00F05B47">
        <w:rPr>
          <w:lang w:val="el-GR"/>
        </w:rPr>
        <w:t xml:space="preserve"> </w:t>
      </w:r>
      <w:r>
        <w:rPr>
          <w:lang w:val="el-GR"/>
        </w:rPr>
        <w:t>σ</w:t>
      </w:r>
      <w:r w:rsidRPr="00F05B47">
        <w:rPr>
          <w:lang w:val="el-GR"/>
        </w:rPr>
        <w:t>το</w:t>
      </w:r>
      <w:r>
        <w:rPr>
          <w:lang w:val="el-GR"/>
        </w:rPr>
        <w:t xml:space="preserve"> συγκεκριμένο</w:t>
      </w:r>
      <w:r w:rsidRPr="00F05B47">
        <w:rPr>
          <w:lang w:val="el-GR"/>
        </w:rPr>
        <w:t xml:space="preserve"> παράδειγμα, στο κείμενο που ακολουθεί θα </w:t>
      </w:r>
      <w:r>
        <w:rPr>
          <w:lang w:val="el-GR"/>
        </w:rPr>
        <w:t xml:space="preserve">αναλύσουμε τις </w:t>
      </w:r>
      <w:r w:rsidRPr="00F05B47">
        <w:rPr>
          <w:lang w:val="el-GR"/>
        </w:rPr>
        <w:t>κοιν</w:t>
      </w:r>
      <w:r>
        <w:rPr>
          <w:lang w:val="el-GR"/>
        </w:rPr>
        <w:t xml:space="preserve">ές πτυχές της </w:t>
      </w:r>
      <w:r w:rsidRPr="00F05B47">
        <w:rPr>
          <w:lang w:val="el-GR"/>
        </w:rPr>
        <w:t>κατάρτισης και της εργασιακής κατάστασης των πιο σχετικών κλάδων.</w:t>
      </w:r>
    </w:p>
    <w:p w:rsidR="00F7112B" w:rsidRPr="00F05B47" w:rsidRDefault="00F05B47" w:rsidP="00C07488">
      <w:pPr>
        <w:pStyle w:val="1"/>
        <w:rPr>
          <w:lang w:val="el-GR"/>
        </w:rPr>
      </w:pPr>
      <w:r>
        <w:rPr>
          <w:lang w:val="el-GR"/>
        </w:rPr>
        <w:t>Ιατρικοί Εμπειρογνώμονες</w:t>
      </w:r>
    </w:p>
    <w:p w:rsidR="00736A8F" w:rsidRDefault="00FA2CAE" w:rsidP="008E625E">
      <w:pPr>
        <w:rPr>
          <w:lang w:val="el-GR"/>
        </w:rPr>
      </w:pPr>
      <w:r w:rsidRPr="008E625E">
        <w:rPr>
          <w:lang w:val="el-GR"/>
        </w:rPr>
        <w:t>Εν</w:t>
      </w:r>
      <w:r>
        <w:rPr>
          <w:lang w:val="el-GR"/>
        </w:rPr>
        <w:t>ώ οι εκπαιδευμένοι ιατροδικαστές</w:t>
      </w:r>
      <w:r w:rsidRPr="008E625E">
        <w:rPr>
          <w:lang w:val="el-GR"/>
        </w:rPr>
        <w:t xml:space="preserve"> </w:t>
      </w:r>
      <w:r>
        <w:rPr>
          <w:lang w:val="el-GR"/>
        </w:rPr>
        <w:t xml:space="preserve">είναι </w:t>
      </w:r>
      <w:r w:rsidRPr="008E625E">
        <w:rPr>
          <w:lang w:val="el-GR"/>
        </w:rPr>
        <w:t>συνήθως έμπειροι σε μια τέτοια κατάσταση εργασίας, συχνά δεν είναι διαθέσιμ</w:t>
      </w:r>
      <w:r>
        <w:rPr>
          <w:lang w:val="el-GR"/>
        </w:rPr>
        <w:t xml:space="preserve">οι </w:t>
      </w:r>
      <w:r w:rsidRPr="008E625E">
        <w:rPr>
          <w:lang w:val="el-GR"/>
        </w:rPr>
        <w:t xml:space="preserve">λόγω </w:t>
      </w:r>
      <w:r>
        <w:rPr>
          <w:lang w:val="el-GR"/>
        </w:rPr>
        <w:t xml:space="preserve">του συνήθως περιορισμένου αριθμού αυτών </w:t>
      </w:r>
      <w:r w:rsidRPr="008E625E">
        <w:rPr>
          <w:lang w:val="el-GR"/>
        </w:rPr>
        <w:t xml:space="preserve">των εμπειρογνωμόνων </w:t>
      </w:r>
      <w:r>
        <w:rPr>
          <w:lang w:val="el-GR"/>
        </w:rPr>
        <w:t>σ</w:t>
      </w:r>
      <w:r w:rsidRPr="008E625E">
        <w:rPr>
          <w:lang w:val="el-GR"/>
        </w:rPr>
        <w:t xml:space="preserve">ε πολλές χώρες, </w:t>
      </w:r>
      <w:r>
        <w:rPr>
          <w:lang w:val="el-GR"/>
        </w:rPr>
        <w:t>τ</w:t>
      </w:r>
      <w:r w:rsidRPr="008E625E">
        <w:rPr>
          <w:lang w:val="el-GR"/>
        </w:rPr>
        <w:t>η</w:t>
      </w:r>
      <w:r>
        <w:rPr>
          <w:lang w:val="el-GR"/>
        </w:rPr>
        <w:t>ς</w:t>
      </w:r>
      <w:r w:rsidRPr="008E625E">
        <w:rPr>
          <w:lang w:val="el-GR"/>
        </w:rPr>
        <w:t xml:space="preserve"> ικανότητα</w:t>
      </w:r>
      <w:r>
        <w:rPr>
          <w:lang w:val="el-GR"/>
        </w:rPr>
        <w:t>ς</w:t>
      </w:r>
      <w:r w:rsidRPr="008E625E">
        <w:rPr>
          <w:lang w:val="el-GR"/>
        </w:rPr>
        <w:t xml:space="preserve">, </w:t>
      </w:r>
      <w:r>
        <w:rPr>
          <w:lang w:val="el-GR"/>
        </w:rPr>
        <w:t xml:space="preserve">της αδυναμίας παροχής από τον </w:t>
      </w:r>
      <w:r w:rsidRPr="008E625E">
        <w:rPr>
          <w:lang w:val="el-GR"/>
        </w:rPr>
        <w:t xml:space="preserve">ενάγοντα, ή </w:t>
      </w:r>
      <w:r>
        <w:rPr>
          <w:lang w:val="el-GR"/>
        </w:rPr>
        <w:t>μπορεί να χρησιμοποιηθούν</w:t>
      </w:r>
      <w:r w:rsidRPr="008E625E">
        <w:rPr>
          <w:lang w:val="el-GR"/>
        </w:rPr>
        <w:t xml:space="preserve"> από ένα κόμμα, όπως </w:t>
      </w:r>
      <w:r>
        <w:rPr>
          <w:lang w:val="el-GR"/>
        </w:rPr>
        <w:t>η</w:t>
      </w:r>
      <w:r w:rsidRPr="008E625E">
        <w:rPr>
          <w:lang w:val="el-GR"/>
        </w:rPr>
        <w:t xml:space="preserve"> κυβέρνηση</w:t>
      </w:r>
      <w:r>
        <w:rPr>
          <w:lang w:val="el-GR"/>
        </w:rPr>
        <w:t>, το οποίο θα θεωρη</w:t>
      </w:r>
      <w:r w:rsidRPr="008E625E">
        <w:rPr>
          <w:lang w:val="el-GR"/>
        </w:rPr>
        <w:t>θεί ως συμμετέχ</w:t>
      </w:r>
      <w:r>
        <w:rPr>
          <w:lang w:val="el-GR"/>
        </w:rPr>
        <w:t>ον</w:t>
      </w:r>
      <w:r w:rsidRPr="008E625E">
        <w:rPr>
          <w:lang w:val="el-GR"/>
        </w:rPr>
        <w:t xml:space="preserve"> σε μι</w:t>
      </w:r>
      <w:r>
        <w:rPr>
          <w:lang w:val="el-GR"/>
        </w:rPr>
        <w:t>α υποτιθέμενη πράξη βασανισμού.</w:t>
      </w:r>
    </w:p>
    <w:p w:rsidR="008E625E" w:rsidRPr="00FA2CAE" w:rsidRDefault="00FA2CAE" w:rsidP="008E625E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965960" cy="1965960"/>
            <wp:effectExtent l="0" t="0" r="0" b="0"/>
            <wp:wrapSquare wrapText="bothSides"/>
            <wp:docPr id="3" name="Picture 5" descr="C:\artikelinwork\artip\media\clip\MP90042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rtikelinwork\artip\media\clip\MP9004227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2903" w:rsidRDefault="00FA2CAE">
      <w:pPr>
        <w:rPr>
          <w:lang w:val="el-GR"/>
        </w:rPr>
      </w:pPr>
      <w:r>
        <w:rPr>
          <w:lang w:val="el-GR"/>
        </w:rPr>
        <w:t>Επομένως, σ</w:t>
      </w:r>
      <w:r w:rsidR="008E625E" w:rsidRPr="008E625E">
        <w:rPr>
          <w:lang w:val="el-GR"/>
        </w:rPr>
        <w:t>ε πολλές περιπτώσε</w:t>
      </w:r>
      <w:r>
        <w:rPr>
          <w:lang w:val="el-GR"/>
        </w:rPr>
        <w:t xml:space="preserve">ις, οι εξετάσεις, τα έγγραφα ή </w:t>
      </w:r>
      <w:r w:rsidR="008E625E" w:rsidRPr="008E625E">
        <w:rPr>
          <w:lang w:val="el-GR"/>
        </w:rPr>
        <w:t xml:space="preserve">η σωματική και ψυχολογική αξιολόγηση, </w:t>
      </w:r>
      <w:r>
        <w:rPr>
          <w:lang w:val="el-GR"/>
        </w:rPr>
        <w:t>θα πραγματοποιηθούν</w:t>
      </w:r>
      <w:r w:rsidR="008E625E" w:rsidRPr="008E625E">
        <w:rPr>
          <w:lang w:val="el-GR"/>
        </w:rPr>
        <w:t xml:space="preserve"> από </w:t>
      </w:r>
      <w:r>
        <w:rPr>
          <w:lang w:val="el-GR"/>
        </w:rPr>
        <w:t xml:space="preserve">το </w:t>
      </w:r>
      <w:r w:rsidR="008E625E" w:rsidRPr="008E625E">
        <w:rPr>
          <w:lang w:val="el-GR"/>
        </w:rPr>
        <w:t>γενικ</w:t>
      </w:r>
      <w:r>
        <w:rPr>
          <w:lang w:val="el-GR"/>
        </w:rPr>
        <w:t xml:space="preserve">ό ιατρικό </w:t>
      </w:r>
      <w:r w:rsidR="008E625E" w:rsidRPr="008E625E">
        <w:rPr>
          <w:lang w:val="el-GR"/>
        </w:rPr>
        <w:t>και νοσηλευτικ</w:t>
      </w:r>
      <w:r>
        <w:rPr>
          <w:lang w:val="el-GR"/>
        </w:rPr>
        <w:t>ό προσωπικό</w:t>
      </w:r>
      <w:r w:rsidR="008E625E" w:rsidRPr="008E625E">
        <w:rPr>
          <w:lang w:val="el-GR"/>
        </w:rPr>
        <w:t xml:space="preserve">. Ως μέρος της διατήρησης των αποδεικτικών στοιχείων, ακόμη και μια βασική τεκμηρίωση των τραυματισμών όπως μια σημείωση στο αρχείο του ασθενή, ή η </w:t>
      </w:r>
      <w:r>
        <w:rPr>
          <w:lang w:val="el-GR"/>
        </w:rPr>
        <w:t xml:space="preserve">φωτογραφία </w:t>
      </w:r>
      <w:r w:rsidR="008E625E" w:rsidRPr="008E625E">
        <w:rPr>
          <w:lang w:val="el-GR"/>
        </w:rPr>
        <w:t>ενός τρ</w:t>
      </w:r>
      <w:r>
        <w:rPr>
          <w:lang w:val="el-GR"/>
        </w:rPr>
        <w:t>αύματος</w:t>
      </w:r>
      <w:r w:rsidR="008E625E" w:rsidRPr="008E625E">
        <w:rPr>
          <w:lang w:val="el-GR"/>
        </w:rPr>
        <w:t xml:space="preserve"> μπορεί να είναι μέρος της διαδικασίας που </w:t>
      </w:r>
      <w:r>
        <w:rPr>
          <w:lang w:val="el-GR"/>
        </w:rPr>
        <w:t>θα χρησιμοποιηθεί σε μεταγενέστερη</w:t>
      </w:r>
      <w:r w:rsidR="008E625E" w:rsidRPr="008E625E">
        <w:rPr>
          <w:lang w:val="el-GR"/>
        </w:rPr>
        <w:t xml:space="preserve"> πληρέστερη και</w:t>
      </w:r>
      <w:r>
        <w:rPr>
          <w:lang w:val="el-GR"/>
        </w:rPr>
        <w:t xml:space="preserve"> πιο </w:t>
      </w:r>
      <w:r w:rsidR="008E625E" w:rsidRPr="008E625E">
        <w:rPr>
          <w:lang w:val="el-GR"/>
        </w:rPr>
        <w:t xml:space="preserve">συστηματική εξέταση, πριν </w:t>
      </w:r>
      <w:r>
        <w:rPr>
          <w:lang w:val="el-GR"/>
        </w:rPr>
        <w:t>την επούλωση των τραυμάτων και την εξαφάνιση των ιχνών.</w:t>
      </w:r>
    </w:p>
    <w:p w:rsidR="00587375" w:rsidRDefault="00C847CD" w:rsidP="00587375">
      <w:pPr>
        <w:rPr>
          <w:lang w:val="el-GR"/>
        </w:rPr>
      </w:pPr>
      <w:r w:rsidRPr="004A2903">
        <w:rPr>
          <w:lang w:val="el-GR"/>
        </w:rPr>
        <w:br/>
      </w:r>
      <w:r w:rsidR="004A2903" w:rsidRPr="004A2903">
        <w:rPr>
          <w:lang w:val="el-GR"/>
        </w:rPr>
        <w:t>Η πιο συνηθισ</w:t>
      </w:r>
      <w:r w:rsidR="004A2903">
        <w:rPr>
          <w:lang w:val="el-GR"/>
        </w:rPr>
        <w:t xml:space="preserve">μένη κατάσταση εργασίας και </w:t>
      </w:r>
      <w:r w:rsidR="004A2903" w:rsidRPr="004A2903">
        <w:rPr>
          <w:lang w:val="el-GR"/>
        </w:rPr>
        <w:t xml:space="preserve">καθημερινή προσέγγιση </w:t>
      </w:r>
      <w:r w:rsidR="004A2903">
        <w:rPr>
          <w:lang w:val="el-GR"/>
        </w:rPr>
        <w:t>στην υγειονομική περίθαλψη</w:t>
      </w:r>
      <w:r w:rsidR="004A2903" w:rsidRPr="004A2903">
        <w:rPr>
          <w:lang w:val="el-GR"/>
        </w:rPr>
        <w:t xml:space="preserve"> εστιάζει συνήθως στον εντοπισμό των προβλημάτων που πρέπει να αντιμετωπιστούν, δίνοντας προτεραιότητα σε εκείν</w:t>
      </w:r>
      <w:r w:rsidR="004A2903">
        <w:rPr>
          <w:lang w:val="el-GR"/>
        </w:rPr>
        <w:t>α</w:t>
      </w:r>
      <w:r w:rsidR="004A2903" w:rsidRPr="004A2903">
        <w:rPr>
          <w:lang w:val="el-GR"/>
        </w:rPr>
        <w:t xml:space="preserve"> που είναι πιο</w:t>
      </w:r>
      <w:r w:rsidR="004A2903">
        <w:rPr>
          <w:lang w:val="el-GR"/>
        </w:rPr>
        <w:t xml:space="preserve"> επικίνδυνα ή μπορεί να οδηγήσουν</w:t>
      </w:r>
      <w:r w:rsidR="004A2903" w:rsidRPr="004A2903">
        <w:rPr>
          <w:lang w:val="el-GR"/>
        </w:rPr>
        <w:t xml:space="preserve"> σε επιπλοκές ή ακόμα και θάνατο. Παλαιότερα ουλές, που δεν έχουν μολυνθεί, για παράδειγμα, συνήθως δεν λαμβάνουν την ίδια προσοχή και ακόμα μπορεί να μην </w:t>
      </w:r>
      <w:r w:rsidR="004A2903">
        <w:rPr>
          <w:lang w:val="el-GR"/>
        </w:rPr>
        <w:t>καταγράφονται</w:t>
      </w:r>
      <w:r w:rsidR="004A2903" w:rsidRPr="004A2903">
        <w:rPr>
          <w:lang w:val="el-GR"/>
        </w:rPr>
        <w:t>, εάν ο γενικός φόρτος εργασίας είναι σημαντικ</w:t>
      </w:r>
      <w:r w:rsidR="004A2903">
        <w:rPr>
          <w:lang w:val="el-GR"/>
        </w:rPr>
        <w:t xml:space="preserve">ός και απαιτεί τον καθορισμό </w:t>
      </w:r>
      <w:r w:rsidR="004A2903" w:rsidRPr="004A2903">
        <w:rPr>
          <w:lang w:val="el-GR"/>
        </w:rPr>
        <w:t xml:space="preserve">προτεραιοτήτων. Για μια υπόθεση ενώπιον του δικαστηρίου, </w:t>
      </w:r>
      <w:r w:rsidR="004A2903" w:rsidRPr="004A2903">
        <w:rPr>
          <w:lang w:val="el-GR"/>
        </w:rPr>
        <w:lastRenderedPageBreak/>
        <w:t>από την άλλη πλευρά, θα μπορο</w:t>
      </w:r>
      <w:r w:rsidR="004A2903">
        <w:rPr>
          <w:lang w:val="el-GR"/>
        </w:rPr>
        <w:t xml:space="preserve">ύσε να είναι ζωτικής σημασίας, ως </w:t>
      </w:r>
      <w:r w:rsidR="004A2903" w:rsidRPr="004A2903">
        <w:rPr>
          <w:lang w:val="el-GR"/>
        </w:rPr>
        <w:t>το τελευταίο εναπομείναν πιθαν</w:t>
      </w:r>
      <w:r w:rsidR="004A2903">
        <w:rPr>
          <w:lang w:val="el-GR"/>
        </w:rPr>
        <w:t>ό</w:t>
      </w:r>
      <w:r w:rsidR="004A2903" w:rsidRPr="004A2903">
        <w:rPr>
          <w:lang w:val="el-GR"/>
        </w:rPr>
        <w:t xml:space="preserve"> αποδεικτικ</w:t>
      </w:r>
      <w:r w:rsidR="004A2903">
        <w:rPr>
          <w:lang w:val="el-GR"/>
        </w:rPr>
        <w:t>ό</w:t>
      </w:r>
      <w:r w:rsidR="004A2903" w:rsidRPr="004A2903">
        <w:rPr>
          <w:lang w:val="el-GR"/>
        </w:rPr>
        <w:t xml:space="preserve"> στοιχεί</w:t>
      </w:r>
      <w:r w:rsidR="004A2903">
        <w:rPr>
          <w:lang w:val="el-GR"/>
        </w:rPr>
        <w:t>ο των προηγούμενων βασανιστηρίων</w:t>
      </w:r>
      <w:r w:rsidR="004A2903" w:rsidRPr="004A2903">
        <w:rPr>
          <w:lang w:val="el-GR"/>
        </w:rPr>
        <w:t>.</w:t>
      </w:r>
      <w:r w:rsidR="00FC7B2B" w:rsidRPr="004A2903">
        <w:rPr>
          <w:lang w:val="el-GR"/>
        </w:rPr>
        <w:t xml:space="preserve">. </w:t>
      </w:r>
      <w:r w:rsidR="00C07488">
        <w:br/>
      </w:r>
      <w:r w:rsidR="00587375" w:rsidRPr="00587375">
        <w:rPr>
          <w:lang w:val="el-GR"/>
        </w:rPr>
        <w:t>Εκτός από τ</w:t>
      </w:r>
      <w:r w:rsidR="00587375">
        <w:rPr>
          <w:lang w:val="el-GR"/>
        </w:rPr>
        <w:t>ην διαφορετική</w:t>
      </w:r>
      <w:r w:rsidR="00587375" w:rsidRPr="00587375">
        <w:rPr>
          <w:lang w:val="el-GR"/>
        </w:rPr>
        <w:t xml:space="preserve"> ε</w:t>
      </w:r>
      <w:r w:rsidR="00587375">
        <w:rPr>
          <w:lang w:val="el-GR"/>
        </w:rPr>
        <w:t xml:space="preserve">στίαση και τις προτεραιότητες, </w:t>
      </w:r>
      <w:r w:rsidR="00587375" w:rsidRPr="00587375">
        <w:rPr>
          <w:lang w:val="el-GR"/>
        </w:rPr>
        <w:t xml:space="preserve">η μορφή της αναφοράς μπορεί να μην είναι επαρκής ως προς τις λεπτομέρειες, καθώς και </w:t>
      </w:r>
      <w:r w:rsidR="00736A8F">
        <w:rPr>
          <w:lang w:val="el-GR"/>
        </w:rPr>
        <w:t xml:space="preserve">τα </w:t>
      </w:r>
      <w:r w:rsidR="00587375" w:rsidRPr="00587375">
        <w:rPr>
          <w:lang w:val="el-GR"/>
        </w:rPr>
        <w:t>πιθανά συμπεράσματα που προκύπτουν από τα αποτελέσματα της εξέτασης. Η ερμηνεία των ευρημά</w:t>
      </w:r>
      <w:r w:rsidR="00736A8F">
        <w:rPr>
          <w:lang w:val="el-GR"/>
        </w:rPr>
        <w:t>των, για παράδειγμα, μια δήλωση</w:t>
      </w:r>
      <w:r w:rsidR="00587375" w:rsidRPr="00587375">
        <w:rPr>
          <w:lang w:val="el-GR"/>
        </w:rPr>
        <w:t xml:space="preserve"> για τη συνοχή, είναι μέρος της εξέτασης που έχει μια ιατροδικαστική εστίαση, αλλά δεν αναμένεται </w:t>
      </w:r>
      <w:r w:rsidR="00736A8F">
        <w:rPr>
          <w:lang w:val="el-GR"/>
        </w:rPr>
        <w:t xml:space="preserve">συνήθως </w:t>
      </w:r>
      <w:r w:rsidR="00587375" w:rsidRPr="00587375">
        <w:rPr>
          <w:lang w:val="el-GR"/>
        </w:rPr>
        <w:t>στην καθημερινή ιατρική πρακτική. Πληροφορίες σχετικά με τα στάδια επεξεργασίας και επιπλέον αναγκαίες εξετάσεις για άλλους γιατρούς ή νοσοκομεία είναι στις περισσότερες περιπτώσεις ο κύριος στόχος της έκθεσης ή τ</w:t>
      </w:r>
      <w:r w:rsidR="00736A8F">
        <w:rPr>
          <w:lang w:val="el-GR"/>
        </w:rPr>
        <w:t>ων</w:t>
      </w:r>
      <w:r w:rsidR="00587375" w:rsidRPr="00587375">
        <w:rPr>
          <w:lang w:val="el-GR"/>
        </w:rPr>
        <w:t xml:space="preserve"> ε</w:t>
      </w:r>
      <w:r w:rsidR="00736A8F">
        <w:rPr>
          <w:lang w:val="el-GR"/>
        </w:rPr>
        <w:t>υρημάτων</w:t>
      </w:r>
      <w:r w:rsidR="00587375" w:rsidRPr="00587375">
        <w:rPr>
          <w:lang w:val="el-GR"/>
        </w:rPr>
        <w:t>.</w:t>
      </w:r>
    </w:p>
    <w:p w:rsidR="00736A8F" w:rsidRPr="00587375" w:rsidRDefault="00736A8F" w:rsidP="00587375">
      <w:pPr>
        <w:rPr>
          <w:lang w:val="el-GR"/>
        </w:rPr>
      </w:pPr>
    </w:p>
    <w:p w:rsidR="00587375" w:rsidRDefault="00736A8F" w:rsidP="00587375">
      <w:pPr>
        <w:rPr>
          <w:lang w:val="el-GR"/>
        </w:rPr>
      </w:pPr>
      <w:r>
        <w:rPr>
          <w:lang w:val="el-GR"/>
        </w:rPr>
        <w:t>Επομένως, ε</w:t>
      </w:r>
      <w:r w:rsidR="00587375" w:rsidRPr="00587375">
        <w:rPr>
          <w:lang w:val="el-GR"/>
        </w:rPr>
        <w:t xml:space="preserve">μπειρογνώμονες </w:t>
      </w:r>
      <w:r>
        <w:rPr>
          <w:lang w:val="el-GR"/>
        </w:rPr>
        <w:t xml:space="preserve">της ιατρικής περίθαλψης </w:t>
      </w:r>
      <w:r w:rsidR="00587375" w:rsidRPr="00587375">
        <w:rPr>
          <w:lang w:val="el-GR"/>
        </w:rPr>
        <w:t>οι οποίοι δεν είναι ιατροδικαστ</w:t>
      </w:r>
      <w:r>
        <w:rPr>
          <w:lang w:val="el-GR"/>
        </w:rPr>
        <w:t xml:space="preserve">ές θα </w:t>
      </w:r>
      <w:r w:rsidR="00587375" w:rsidRPr="00587375">
        <w:rPr>
          <w:lang w:val="el-GR"/>
        </w:rPr>
        <w:t>πρέπει να μάθουν να παρέχουν τις μορφές και το περιεχόμενο των πληροφοριών που απαιτούνται και αναμέν</w:t>
      </w:r>
      <w:r>
        <w:rPr>
          <w:lang w:val="el-GR"/>
        </w:rPr>
        <w:t>ονται</w:t>
      </w:r>
      <w:r w:rsidR="00587375" w:rsidRPr="00587375">
        <w:rPr>
          <w:lang w:val="el-GR"/>
        </w:rPr>
        <w:t xml:space="preserve"> από τον δικηγόρο και το δικαστήριο. Το Πρωτόκολλο της Κωνσταντινούπολης παρέχε</w:t>
      </w:r>
      <w:r>
        <w:rPr>
          <w:lang w:val="el-GR"/>
        </w:rPr>
        <w:t>ι καθοδήγηση σε αυτά τα θέματα.</w:t>
      </w:r>
    </w:p>
    <w:p w:rsidR="00736A8F" w:rsidRPr="00587375" w:rsidRDefault="00736A8F" w:rsidP="00587375">
      <w:pPr>
        <w:rPr>
          <w:lang w:val="el-GR"/>
        </w:rPr>
      </w:pPr>
    </w:p>
    <w:p w:rsidR="00587375" w:rsidRDefault="00587375" w:rsidP="00587375">
      <w:pPr>
        <w:rPr>
          <w:lang w:val="el-GR"/>
        </w:rPr>
      </w:pPr>
      <w:r w:rsidRPr="00587375">
        <w:rPr>
          <w:lang w:val="el-GR"/>
        </w:rPr>
        <w:t>Ακόμα και πολύ έμπειροι ιατροδικαστές μπορεί να μην είναι καλά εκπαιδευμένοι στις ειδικές απαιτήσεις μιας έρευνας για τα βασανιστήρια, και σ</w:t>
      </w:r>
      <w:r w:rsidR="00736A8F">
        <w:rPr>
          <w:lang w:val="el-GR"/>
        </w:rPr>
        <w:t>υνεπώς πρέπει επίσης να μελετήσουν</w:t>
      </w:r>
      <w:r w:rsidRPr="00587375">
        <w:rPr>
          <w:lang w:val="el-GR"/>
        </w:rPr>
        <w:t xml:space="preserve"> τα σχετικά μέρη του πρωτοκόλλου.</w:t>
      </w:r>
    </w:p>
    <w:p w:rsidR="008C538C" w:rsidRPr="00736A8F" w:rsidRDefault="008C538C" w:rsidP="008C538C">
      <w:pPr>
        <w:pStyle w:val="2"/>
        <w:rPr>
          <w:b w:val="0"/>
          <w:i w:val="0"/>
          <w:lang w:val="el-GR"/>
        </w:rPr>
      </w:pPr>
      <w:r w:rsidRPr="00736A8F">
        <w:rPr>
          <w:lang w:val="el-GR"/>
        </w:rPr>
        <w:br/>
      </w:r>
      <w:r w:rsidR="00736A8F">
        <w:rPr>
          <w:b w:val="0"/>
          <w:i w:val="0"/>
          <w:lang w:val="el-GR"/>
        </w:rPr>
        <w:t>Διάφοροι κλάδοι της υγειονομικής περίθαλψης</w:t>
      </w:r>
    </w:p>
    <w:p w:rsidR="008171BA" w:rsidRPr="00736A8F" w:rsidRDefault="008171BA" w:rsidP="008171BA">
      <w:pPr>
        <w:rPr>
          <w:lang w:val="el-GR"/>
        </w:rPr>
      </w:pPr>
    </w:p>
    <w:p w:rsidR="00A03A3C" w:rsidRPr="00A03A3C" w:rsidRDefault="00A03A3C" w:rsidP="00A03A3C">
      <w:pPr>
        <w:rPr>
          <w:lang w:val="el-GR"/>
        </w:rPr>
      </w:pPr>
      <w:r w:rsidRPr="00A03A3C">
        <w:rPr>
          <w:lang w:val="el-GR"/>
        </w:rPr>
        <w:t>Ακόμη και μεταξύ των διαφόρων επαγγελμάτων</w:t>
      </w:r>
      <w:r>
        <w:rPr>
          <w:lang w:val="el-GR"/>
        </w:rPr>
        <w:t xml:space="preserve"> υγειονομικής περίθαλψης, όπως οι ιατροδικαστικοί</w:t>
      </w:r>
      <w:r w:rsidRPr="00A03A3C">
        <w:rPr>
          <w:lang w:val="el-GR"/>
        </w:rPr>
        <w:t xml:space="preserve"> εξεταστές, </w:t>
      </w:r>
      <w:r>
        <w:rPr>
          <w:lang w:val="el-GR"/>
        </w:rPr>
        <w:t xml:space="preserve">οι </w:t>
      </w:r>
      <w:r w:rsidRPr="00A03A3C">
        <w:rPr>
          <w:lang w:val="el-GR"/>
        </w:rPr>
        <w:t xml:space="preserve">ψυχολόγοι, οι ψυχίατροι και οι γενικοί ιατροί, </w:t>
      </w:r>
      <w:r w:rsidR="008B45C8">
        <w:rPr>
          <w:lang w:val="el-GR"/>
        </w:rPr>
        <w:t xml:space="preserve">η </w:t>
      </w:r>
      <w:r w:rsidRPr="00A03A3C">
        <w:rPr>
          <w:lang w:val="el-GR"/>
        </w:rPr>
        <w:t xml:space="preserve">εστίαση, </w:t>
      </w:r>
      <w:r w:rsidR="008B45C8">
        <w:rPr>
          <w:lang w:val="el-GR"/>
        </w:rPr>
        <w:t xml:space="preserve">η </w:t>
      </w:r>
      <w:r w:rsidR="008B45C8" w:rsidRPr="00A03A3C">
        <w:rPr>
          <w:lang w:val="el-GR"/>
        </w:rPr>
        <w:t xml:space="preserve">μορφή </w:t>
      </w:r>
      <w:r w:rsidRPr="00A03A3C">
        <w:rPr>
          <w:lang w:val="el-GR"/>
        </w:rPr>
        <w:t>υποβολή</w:t>
      </w:r>
      <w:r w:rsidR="008B45C8">
        <w:rPr>
          <w:lang w:val="el-GR"/>
        </w:rPr>
        <w:t>ς</w:t>
      </w:r>
      <w:r w:rsidRPr="00A03A3C">
        <w:rPr>
          <w:lang w:val="el-GR"/>
        </w:rPr>
        <w:t xml:space="preserve"> εκθέσεων </w:t>
      </w:r>
      <w:r w:rsidR="008B45C8">
        <w:rPr>
          <w:lang w:val="el-GR"/>
        </w:rPr>
        <w:t>και οι</w:t>
      </w:r>
      <w:r w:rsidRPr="00A03A3C">
        <w:rPr>
          <w:lang w:val="el-GR"/>
        </w:rPr>
        <w:t xml:space="preserve"> προτεραιότητες σε μια εξέταση μπορεί να διαφέρουν σημαντικά. </w:t>
      </w:r>
      <w:r w:rsidR="008B45C8">
        <w:rPr>
          <w:lang w:val="el-GR"/>
        </w:rPr>
        <w:t>Οι ιατροδικαστικοί εξεταστές</w:t>
      </w:r>
      <w:r w:rsidRPr="00A03A3C">
        <w:rPr>
          <w:lang w:val="el-GR"/>
        </w:rPr>
        <w:t xml:space="preserve"> σε πολλές χώρες </w:t>
      </w:r>
      <w:r w:rsidR="008B45C8">
        <w:rPr>
          <w:lang w:val="el-GR"/>
        </w:rPr>
        <w:t>χρησιμοποιούνται</w:t>
      </w:r>
      <w:r w:rsidRPr="00A03A3C">
        <w:rPr>
          <w:lang w:val="el-GR"/>
        </w:rPr>
        <w:t xml:space="preserve"> π</w:t>
      </w:r>
      <w:r w:rsidR="008B45C8">
        <w:rPr>
          <w:lang w:val="el-GR"/>
        </w:rPr>
        <w:t>ερισσότερο</w:t>
      </w:r>
      <w:r w:rsidRPr="00A03A3C">
        <w:rPr>
          <w:lang w:val="el-GR"/>
        </w:rPr>
        <w:t xml:space="preserve"> για να διενεργούν αυτοψίες των νεκρών σωμάτων, και μπορεί να μην αισθάνονται άνετα με μια ψυχολογική εξέταση, και ως εκ τούτου χρειάζεται ένα</w:t>
      </w:r>
      <w:r w:rsidR="008B45C8">
        <w:rPr>
          <w:lang w:val="el-GR"/>
        </w:rPr>
        <w:t>ς</w:t>
      </w:r>
      <w:r w:rsidRPr="00A03A3C">
        <w:rPr>
          <w:lang w:val="el-GR"/>
        </w:rPr>
        <w:t xml:space="preserve"> ειδικό</w:t>
      </w:r>
      <w:r w:rsidR="008B45C8">
        <w:rPr>
          <w:lang w:val="el-GR"/>
        </w:rPr>
        <w:t>ς</w:t>
      </w:r>
      <w:r w:rsidRPr="00A03A3C">
        <w:rPr>
          <w:lang w:val="el-GR"/>
        </w:rPr>
        <w:t xml:space="preserve"> ψυχικής υγείας για να εκτελέσει μια πλήρη εξέταση, ακόμη και αν ο ίδιος δεν μπορούσε να εξετάσει την πτυχή αυτή στ</w:t>
      </w:r>
      <w:r w:rsidR="008B45C8">
        <w:rPr>
          <w:lang w:val="el-GR"/>
        </w:rPr>
        <w:t>ην</w:t>
      </w:r>
      <w:r w:rsidRPr="00A03A3C">
        <w:rPr>
          <w:lang w:val="el-GR"/>
        </w:rPr>
        <w:t xml:space="preserve"> συνηθισμέν</w:t>
      </w:r>
      <w:r w:rsidR="008B45C8">
        <w:rPr>
          <w:lang w:val="el-GR"/>
        </w:rPr>
        <w:t>η</w:t>
      </w:r>
      <w:r w:rsidRPr="00A03A3C">
        <w:rPr>
          <w:lang w:val="el-GR"/>
        </w:rPr>
        <w:t xml:space="preserve"> </w:t>
      </w:r>
      <w:r w:rsidR="008B45C8">
        <w:rPr>
          <w:lang w:val="el-GR"/>
        </w:rPr>
        <w:t>ροή</w:t>
      </w:r>
      <w:r w:rsidRPr="00A03A3C">
        <w:rPr>
          <w:lang w:val="el-GR"/>
        </w:rPr>
        <w:t xml:space="preserve"> των εργασιών</w:t>
      </w:r>
      <w:r w:rsidR="008B45C8">
        <w:rPr>
          <w:lang w:val="el-GR"/>
        </w:rPr>
        <w:t xml:space="preserve"> του</w:t>
      </w:r>
      <w:r w:rsidRPr="00A03A3C">
        <w:rPr>
          <w:lang w:val="el-GR"/>
        </w:rPr>
        <w:t>.</w:t>
      </w:r>
    </w:p>
    <w:p w:rsidR="00A03A3C" w:rsidRPr="00A03A3C" w:rsidRDefault="00A03A3C" w:rsidP="00A03A3C">
      <w:pPr>
        <w:rPr>
          <w:lang w:val="el-GR"/>
        </w:rPr>
      </w:pPr>
    </w:p>
    <w:p w:rsidR="00A03A3C" w:rsidRDefault="008B45C8" w:rsidP="00A03A3C">
      <w:pPr>
        <w:rPr>
          <w:lang w:val="el-GR"/>
        </w:rPr>
      </w:pPr>
      <w:r>
        <w:rPr>
          <w:lang w:val="el-GR"/>
        </w:rPr>
        <w:t>Στην πρακτική αλληλεπίδραση</w:t>
      </w:r>
      <w:r w:rsidR="00A03A3C" w:rsidRPr="00A03A3C">
        <w:rPr>
          <w:lang w:val="el-GR"/>
        </w:rPr>
        <w:t>,</w:t>
      </w:r>
      <w:r>
        <w:rPr>
          <w:lang w:val="el-GR"/>
        </w:rPr>
        <w:t xml:space="preserve"> είναι σημαντική  η</w:t>
      </w:r>
      <w:r w:rsidR="00A03A3C" w:rsidRPr="00A03A3C">
        <w:rPr>
          <w:lang w:val="el-GR"/>
        </w:rPr>
        <w:t xml:space="preserve"> στενή επικοινωνία </w:t>
      </w:r>
      <w:r>
        <w:rPr>
          <w:lang w:val="el-GR"/>
        </w:rPr>
        <w:t>για</w:t>
      </w:r>
      <w:r w:rsidR="00A03A3C" w:rsidRPr="00A03A3C">
        <w:rPr>
          <w:lang w:val="el-GR"/>
        </w:rPr>
        <w:t xml:space="preserve"> να μειωθεί το άγχος για την πρόληψη του άγχους για τον πελάτη. Αν, για παράδειγμα, ο πελάτης έχει χαρακτηριστεί ως πιθανός επιζών βασανιστ</w:t>
      </w:r>
      <w:r>
        <w:rPr>
          <w:lang w:val="el-GR"/>
        </w:rPr>
        <w:t>ηρίων</w:t>
      </w:r>
      <w:r w:rsidR="00A03A3C" w:rsidRPr="00A03A3C">
        <w:rPr>
          <w:lang w:val="el-GR"/>
        </w:rPr>
        <w:t xml:space="preserve"> από τους γεν</w:t>
      </w:r>
      <w:r>
        <w:rPr>
          <w:lang w:val="el-GR"/>
        </w:rPr>
        <w:t>ικούς ιατρούς που την παραπέμπουν</w:t>
      </w:r>
      <w:r w:rsidR="00A03A3C" w:rsidRPr="00A03A3C">
        <w:rPr>
          <w:lang w:val="el-GR"/>
        </w:rPr>
        <w:t xml:space="preserve"> σε ένα γυναικολόγο, μπορεί να είναι προτιμότερο </w:t>
      </w:r>
      <w:r>
        <w:rPr>
          <w:lang w:val="el-GR"/>
        </w:rPr>
        <w:t>να επιλέξουν μια γυναίκα γιατρό, και να την ενημερώσουν</w:t>
      </w:r>
      <w:r w:rsidR="00A03A3C" w:rsidRPr="00A03A3C">
        <w:rPr>
          <w:lang w:val="el-GR"/>
        </w:rPr>
        <w:t xml:space="preserve">, ότι </w:t>
      </w:r>
      <w:r>
        <w:rPr>
          <w:lang w:val="el-GR"/>
        </w:rPr>
        <w:t xml:space="preserve">θα πρέπει να ληφθεί </w:t>
      </w:r>
      <w:r w:rsidR="00A03A3C" w:rsidRPr="00A03A3C">
        <w:rPr>
          <w:lang w:val="el-GR"/>
        </w:rPr>
        <w:t xml:space="preserve">ιδιαίτερη προσοχή </w:t>
      </w:r>
      <w:r>
        <w:rPr>
          <w:lang w:val="el-GR"/>
        </w:rPr>
        <w:t>κατά την εξέταση για να αποφευχθεί</w:t>
      </w:r>
      <w:r w:rsidR="00A03A3C" w:rsidRPr="00A03A3C">
        <w:rPr>
          <w:lang w:val="el-GR"/>
        </w:rPr>
        <w:t xml:space="preserve"> </w:t>
      </w:r>
      <w:r>
        <w:rPr>
          <w:lang w:val="el-GR"/>
        </w:rPr>
        <w:t>αδικαιολόγητο στρες</w:t>
      </w:r>
      <w:r w:rsidR="00A03A3C" w:rsidRPr="00A03A3C">
        <w:rPr>
          <w:lang w:val="el-GR"/>
        </w:rPr>
        <w:t xml:space="preserve"> ή </w:t>
      </w:r>
      <w:r>
        <w:rPr>
          <w:lang w:val="el-GR"/>
        </w:rPr>
        <w:t>τραυματικές συνέπειες</w:t>
      </w:r>
      <w:r w:rsidR="00A03A3C" w:rsidRPr="00A03A3C">
        <w:rPr>
          <w:lang w:val="el-GR"/>
        </w:rPr>
        <w:t>.</w:t>
      </w:r>
    </w:p>
    <w:p w:rsidR="0021198D" w:rsidRPr="00786D8A" w:rsidRDefault="00786D8A" w:rsidP="00945ACB">
      <w:pPr>
        <w:pStyle w:val="1"/>
        <w:rPr>
          <w:lang w:val="el-GR"/>
        </w:rPr>
      </w:pPr>
      <w:r>
        <w:rPr>
          <w:lang w:val="el-GR"/>
        </w:rPr>
        <w:t>Ο νομικός εμπειρογνώμων</w:t>
      </w:r>
    </w:p>
    <w:p w:rsidR="00945ACB" w:rsidRPr="00743703" w:rsidRDefault="00945ACB" w:rsidP="00C847CD">
      <w:pPr>
        <w:rPr>
          <w:lang w:val="el-GR"/>
        </w:rPr>
      </w:pPr>
    </w:p>
    <w:p w:rsidR="00743703" w:rsidRPr="00743703" w:rsidRDefault="00743703" w:rsidP="00743703">
      <w:pPr>
        <w:rPr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2952115" cy="1962150"/>
            <wp:effectExtent l="19050" t="0" r="635" b="0"/>
            <wp:wrapSquare wrapText="bothSides"/>
            <wp:docPr id="19" name="Picture 19" descr="C:\Users\tw\AppData\Local\Microsoft\Windows\Temporary Internet Files\Content.IE5\61J2O91M\MP9001785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tw\AppData\Local\Microsoft\Windows\Temporary Internet Files\Content.IE5\61J2O91M\MP90017858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3703">
        <w:rPr>
          <w:lang w:val="el-GR"/>
        </w:rPr>
        <w:t xml:space="preserve">Ενώ η νομική πρακτική και το πλαίσιο των διαδικασιών στα νομικά συστήματα διαφέρουν μεταξύ </w:t>
      </w:r>
      <w:r>
        <w:rPr>
          <w:lang w:val="el-GR"/>
        </w:rPr>
        <w:t xml:space="preserve">των χωρών, των δικηγόρων </w:t>
      </w:r>
      <w:r w:rsidRPr="00743703">
        <w:rPr>
          <w:lang w:val="el-GR"/>
        </w:rPr>
        <w:t xml:space="preserve">ή </w:t>
      </w:r>
      <w:r>
        <w:rPr>
          <w:lang w:val="el-GR"/>
        </w:rPr>
        <w:t xml:space="preserve">των </w:t>
      </w:r>
      <w:r w:rsidRPr="00743703">
        <w:rPr>
          <w:lang w:val="el-GR"/>
        </w:rPr>
        <w:t>δικαστ</w:t>
      </w:r>
      <w:r>
        <w:rPr>
          <w:lang w:val="el-GR"/>
        </w:rPr>
        <w:t>ών</w:t>
      </w:r>
      <w:r w:rsidRPr="00743703">
        <w:rPr>
          <w:lang w:val="el-GR"/>
        </w:rPr>
        <w:t xml:space="preserve">, τουλάχιστον </w:t>
      </w:r>
      <w:r>
        <w:rPr>
          <w:lang w:val="el-GR"/>
        </w:rPr>
        <w:t xml:space="preserve">οι χώρες </w:t>
      </w:r>
      <w:r w:rsidRPr="00743703">
        <w:rPr>
          <w:lang w:val="el-GR"/>
        </w:rPr>
        <w:t>που δεν εμπλέκονται συχνά σε ακραία βία όπως βασανιστήρια, μπορεί να μην έχουν μια σαφή κατανόηση των χαρακτηριστικών των επιπτώσεων των βασανιστηρίων, ιδίως</w:t>
      </w:r>
      <w:r>
        <w:rPr>
          <w:lang w:val="el-GR"/>
        </w:rPr>
        <w:t xml:space="preserve"> στον τομέα της ψυχικής υγείας</w:t>
      </w:r>
      <w:r w:rsidRPr="00743703">
        <w:rPr>
          <w:lang w:val="el-GR"/>
        </w:rPr>
        <w:t>. Τα προβλήματα ψυχικής υγείας, επίσης, συχνά στιγματίζον</w:t>
      </w:r>
      <w:r>
        <w:rPr>
          <w:lang w:val="el-GR"/>
        </w:rPr>
        <w:t>ται και ως εκ τούτου παραμελούνται</w:t>
      </w:r>
      <w:r w:rsidRPr="00743703">
        <w:rPr>
          <w:lang w:val="el-GR"/>
        </w:rPr>
        <w:t xml:space="preserve">, παρά το γεγονός ότι </w:t>
      </w:r>
      <w:r>
        <w:rPr>
          <w:lang w:val="el-GR"/>
        </w:rPr>
        <w:t xml:space="preserve">είναι </w:t>
      </w:r>
      <w:r w:rsidRPr="00743703">
        <w:rPr>
          <w:lang w:val="el-GR"/>
        </w:rPr>
        <w:t xml:space="preserve">μείζονος σημασίας και ίσως η πιο κοινή </w:t>
      </w:r>
      <w:r>
        <w:rPr>
          <w:lang w:val="el-GR"/>
        </w:rPr>
        <w:t>συνέπεια</w:t>
      </w:r>
      <w:r w:rsidRPr="00743703">
        <w:rPr>
          <w:lang w:val="el-GR"/>
        </w:rPr>
        <w:t>.</w:t>
      </w:r>
    </w:p>
    <w:p w:rsidR="00743703" w:rsidRPr="00743703" w:rsidRDefault="00743703" w:rsidP="00743703">
      <w:pPr>
        <w:rPr>
          <w:lang w:val="el-GR"/>
        </w:rPr>
      </w:pPr>
    </w:p>
    <w:p w:rsidR="00743703" w:rsidRDefault="00743703" w:rsidP="00743703">
      <w:pPr>
        <w:rPr>
          <w:lang w:val="el-GR"/>
        </w:rPr>
      </w:pPr>
      <w:r w:rsidRPr="00743703">
        <w:rPr>
          <w:lang w:val="el-GR"/>
        </w:rPr>
        <w:t>Ο εντοπισμός των αντιφάσεων είναι ένα κοινό πρότυπο στρατηγική</w:t>
      </w:r>
      <w:r>
        <w:rPr>
          <w:lang w:val="el-GR"/>
        </w:rPr>
        <w:t>ς στην εγκληματολογία</w:t>
      </w:r>
      <w:r w:rsidRPr="00743703">
        <w:rPr>
          <w:lang w:val="el-GR"/>
        </w:rPr>
        <w:t xml:space="preserve"> και </w:t>
      </w:r>
      <w:r>
        <w:rPr>
          <w:lang w:val="el-GR"/>
        </w:rPr>
        <w:t xml:space="preserve">στις </w:t>
      </w:r>
      <w:r w:rsidRPr="00743703">
        <w:rPr>
          <w:lang w:val="el-GR"/>
        </w:rPr>
        <w:t>δικαστικές υποθέσεις, και ως εκ τούτου θα μπορούσε</w:t>
      </w:r>
      <w:r>
        <w:rPr>
          <w:lang w:val="el-GR"/>
        </w:rPr>
        <w:t xml:space="preserve"> να οδηγήσει άμεσα στην υπόθεση</w:t>
      </w:r>
      <w:r w:rsidRPr="00743703">
        <w:rPr>
          <w:lang w:val="el-GR"/>
        </w:rPr>
        <w:t xml:space="preserve"> ότι ο αιτών θα μπορούσε να λέει ψέματα. Καθυστερημένη υποβολή τμημάτων </w:t>
      </w:r>
      <w:r>
        <w:rPr>
          <w:lang w:val="el-GR"/>
        </w:rPr>
        <w:t>των γεγονότων</w:t>
      </w:r>
      <w:r w:rsidRPr="00743703">
        <w:rPr>
          <w:lang w:val="el-GR"/>
        </w:rPr>
        <w:t xml:space="preserve">, επίσης, θα μπορούσε να οδηγήσει στο συμπέρασμα ότι οι πρόσθετες πληροφορίες είναι μια παραποίηση </w:t>
      </w:r>
      <w:r>
        <w:rPr>
          <w:lang w:val="el-GR"/>
        </w:rPr>
        <w:t xml:space="preserve">και </w:t>
      </w:r>
      <w:r w:rsidRPr="00743703">
        <w:rPr>
          <w:lang w:val="el-GR"/>
        </w:rPr>
        <w:t>βασίζ</w:t>
      </w:r>
      <w:r>
        <w:rPr>
          <w:lang w:val="el-GR"/>
        </w:rPr>
        <w:t>ονται</w:t>
      </w:r>
      <w:r w:rsidRPr="00743703">
        <w:rPr>
          <w:lang w:val="el-GR"/>
        </w:rPr>
        <w:t xml:space="preserve"> σ</w:t>
      </w:r>
      <w:r>
        <w:rPr>
          <w:lang w:val="el-GR"/>
        </w:rPr>
        <w:t>ε</w:t>
      </w:r>
      <w:r w:rsidRPr="00743703">
        <w:rPr>
          <w:lang w:val="el-GR"/>
        </w:rPr>
        <w:t xml:space="preserve"> δεύτερη σκέψη ή </w:t>
      </w:r>
      <w:r>
        <w:rPr>
          <w:lang w:val="el-GR"/>
        </w:rPr>
        <w:t>σε</w:t>
      </w:r>
      <w:r w:rsidRPr="00743703">
        <w:rPr>
          <w:lang w:val="el-GR"/>
        </w:rPr>
        <w:t xml:space="preserve"> σύσταση του δικηγόρου με σκοπό την ενίσχυση </w:t>
      </w:r>
      <w:r>
        <w:rPr>
          <w:lang w:val="el-GR"/>
        </w:rPr>
        <w:t xml:space="preserve">της </w:t>
      </w:r>
      <w:r w:rsidRPr="00743703">
        <w:rPr>
          <w:lang w:val="el-GR"/>
        </w:rPr>
        <w:t>υπόθεση</w:t>
      </w:r>
      <w:r>
        <w:rPr>
          <w:lang w:val="el-GR"/>
        </w:rPr>
        <w:t>ς</w:t>
      </w:r>
      <w:r w:rsidRPr="00743703">
        <w:rPr>
          <w:lang w:val="el-GR"/>
        </w:rPr>
        <w:t xml:space="preserve">. Αυτό είναι για παράδειγμα πολύ κοινό πρόβλημα στις διαδικασίες ασύλου, όπου οι πελάτες στην </w:t>
      </w:r>
      <w:r>
        <w:rPr>
          <w:lang w:val="el-GR"/>
        </w:rPr>
        <w:t>πρώτη συνέντευξή της, αισθάνθηκαν συγκλονισμένοι ή ντρέπονταν ν</w:t>
      </w:r>
      <w:r w:rsidRPr="00743703">
        <w:rPr>
          <w:lang w:val="el-GR"/>
        </w:rPr>
        <w:t xml:space="preserve">α </w:t>
      </w:r>
      <w:r>
        <w:rPr>
          <w:lang w:val="el-GR"/>
        </w:rPr>
        <w:t>αναφέρουν</w:t>
      </w:r>
      <w:r w:rsidRPr="00743703">
        <w:rPr>
          <w:lang w:val="el-GR"/>
        </w:rPr>
        <w:t xml:space="preserve"> </w:t>
      </w:r>
      <w:r>
        <w:rPr>
          <w:lang w:val="el-GR"/>
        </w:rPr>
        <w:t>την σεξουαλική βία</w:t>
      </w:r>
      <w:r w:rsidRPr="00743703">
        <w:rPr>
          <w:lang w:val="el-GR"/>
        </w:rPr>
        <w:t>.</w:t>
      </w:r>
    </w:p>
    <w:p w:rsidR="00C07488" w:rsidRPr="00743703" w:rsidRDefault="00C07488" w:rsidP="00743703">
      <w:pPr>
        <w:rPr>
          <w:lang w:val="el-GR"/>
        </w:rPr>
      </w:pPr>
    </w:p>
    <w:p w:rsidR="00743703" w:rsidRPr="00743703" w:rsidRDefault="00743703" w:rsidP="00743703">
      <w:pPr>
        <w:rPr>
          <w:lang w:val="el-GR"/>
        </w:rPr>
      </w:pPr>
      <w:r w:rsidRPr="00743703">
        <w:rPr>
          <w:lang w:val="el-GR"/>
        </w:rPr>
        <w:t>Ο εντοπισμός των αντιφάσεων μπορεί συνεπώς να είναι μια καλή στρατηγική σε γενικές ποινικές υποθ</w:t>
      </w:r>
      <w:r>
        <w:rPr>
          <w:lang w:val="el-GR"/>
        </w:rPr>
        <w:t xml:space="preserve">έσεις και συνεντεύξεις με πιθανούς δράστες, αλλά δεν θα αποφέρει </w:t>
      </w:r>
      <w:r w:rsidRPr="00743703">
        <w:rPr>
          <w:lang w:val="el-GR"/>
        </w:rPr>
        <w:t>θετικά αποτελέσματα στην εξέταση των θυμάτων.</w:t>
      </w:r>
    </w:p>
    <w:p w:rsidR="00743703" w:rsidRDefault="00743703" w:rsidP="00743703">
      <w:pPr>
        <w:rPr>
          <w:lang w:val="el-GR"/>
        </w:rPr>
      </w:pPr>
      <w:r w:rsidRPr="00743703">
        <w:rPr>
          <w:lang w:val="el-GR"/>
        </w:rPr>
        <w:t>Ένα άλλο πρόβλημα είναι ότι, δεν είναι το λιγότερο, λόγω της ταχείας ανάπτυξης της ιατρικής γνώσης και της επιστήμης, - πο</w:t>
      </w:r>
      <w:r>
        <w:rPr>
          <w:lang w:val="el-GR"/>
        </w:rPr>
        <w:t xml:space="preserve">λλοί δικηγόροι και </w:t>
      </w:r>
      <w:r w:rsidRPr="00743703">
        <w:rPr>
          <w:lang w:val="el-GR"/>
        </w:rPr>
        <w:t xml:space="preserve">δικαστές δεν είναι ενημερωμένοι, </w:t>
      </w:r>
      <w:r>
        <w:rPr>
          <w:lang w:val="el-GR"/>
        </w:rPr>
        <w:t xml:space="preserve">ποιο </w:t>
      </w:r>
      <w:r w:rsidRPr="00743703">
        <w:rPr>
          <w:lang w:val="el-GR"/>
        </w:rPr>
        <w:t>είδος πληροφοριών και σε ποιο βαθμό βεβαιότητας ιατρική</w:t>
      </w:r>
      <w:r>
        <w:rPr>
          <w:lang w:val="el-GR"/>
        </w:rPr>
        <w:t>ς</w:t>
      </w:r>
      <w:r w:rsidRPr="00743703">
        <w:rPr>
          <w:lang w:val="el-GR"/>
        </w:rPr>
        <w:t xml:space="preserve"> αξιολόγηση</w:t>
      </w:r>
      <w:r>
        <w:rPr>
          <w:lang w:val="el-GR"/>
        </w:rPr>
        <w:t xml:space="preserve">ς μπορεί να αποφέρουν </w:t>
      </w:r>
      <w:r w:rsidRPr="00743703">
        <w:rPr>
          <w:lang w:val="el-GR"/>
        </w:rPr>
        <w:t>απαραίτητα αποδεικτικά στοιχεία ή να χρησιμεύσουν προκειμένου να αποσαφηνιστούν ζητήματα .</w:t>
      </w:r>
    </w:p>
    <w:p w:rsidR="00743703" w:rsidRDefault="00743703" w:rsidP="00743703">
      <w:pPr>
        <w:rPr>
          <w:lang w:val="el-GR"/>
        </w:rPr>
      </w:pPr>
      <w:r>
        <w:rPr>
          <w:lang w:val="el-GR"/>
        </w:rPr>
        <w:t>Στις</w:t>
      </w:r>
      <w:r w:rsidRPr="00743703">
        <w:rPr>
          <w:lang w:val="el-GR"/>
        </w:rPr>
        <w:t xml:space="preserve"> νομικές διαδικασίες, τα συναισθήματα των μαρτύρων ή θυμάτων πολύ συχνά δεν είναι το κύριο σημείο ανησυχίας, καθώς η κύρια εστίαση είναι στα αποτελέσματα, </w:t>
      </w:r>
      <w:r w:rsidR="00AE4472">
        <w:rPr>
          <w:lang w:val="el-GR"/>
        </w:rPr>
        <w:t xml:space="preserve">στην </w:t>
      </w:r>
      <w:r w:rsidRPr="00743703">
        <w:rPr>
          <w:lang w:val="el-GR"/>
        </w:rPr>
        <w:t xml:space="preserve">απόφαση ή </w:t>
      </w:r>
      <w:r w:rsidR="00AE4472">
        <w:rPr>
          <w:lang w:val="el-GR"/>
        </w:rPr>
        <w:t xml:space="preserve">στις </w:t>
      </w:r>
      <w:r w:rsidRPr="00743703">
        <w:rPr>
          <w:lang w:val="el-GR"/>
        </w:rPr>
        <w:t>γενικότερες εκτιμήσεις, όπως η προστασία του μονοπωλίου του κράτους να χρησιμοποιεί ελεγχόμενη βία. Η Ευρωπαϊκή Ένωση έχει θέσει σε εφαρμογή ένα σύστημα-πλαίσιο για την προστασία των θυμάτων εγκληματικών πράξεων σε τέτοιες νομικές διαδικασίες (</w:t>
      </w:r>
      <w:r w:rsidR="00AE4472">
        <w:rPr>
          <w:rStyle w:val="a4"/>
        </w:rPr>
        <w:footnoteReference w:id="2"/>
      </w:r>
      <w:r w:rsidRPr="00743703">
        <w:rPr>
          <w:lang w:val="el-GR"/>
        </w:rPr>
        <w:t xml:space="preserve">Απόφαση πλαίσιο του Συμβουλίου σχετικά με το καθεστώς των θυμάτων σε ποινικές διαδικασίες). Οι </w:t>
      </w:r>
      <w:r w:rsidR="00AE4472">
        <w:rPr>
          <w:lang w:val="el-GR"/>
        </w:rPr>
        <w:t>κύριες</w:t>
      </w:r>
      <w:r w:rsidRPr="00743703">
        <w:rPr>
          <w:lang w:val="el-GR"/>
        </w:rPr>
        <w:t xml:space="preserve"> αρχ</w:t>
      </w:r>
      <w:r w:rsidR="00AE4472">
        <w:rPr>
          <w:lang w:val="el-GR"/>
        </w:rPr>
        <w:t>ές</w:t>
      </w:r>
      <w:r w:rsidRPr="00743703">
        <w:rPr>
          <w:lang w:val="el-GR"/>
        </w:rPr>
        <w:t xml:space="preserve"> του σεβασμού για την συναισθηματική ευαισθησία και τις ανάγκες των θυμάτων της βίας που έχουν πραγματοποιηθεί σε πολλές ευρωπαϊκές χώρες, μέσω ειδικών οργανισμών</w:t>
      </w:r>
      <w:r w:rsidR="00AE4472">
        <w:rPr>
          <w:lang w:val="el-GR"/>
        </w:rPr>
        <w:t xml:space="preserve"> για την </w:t>
      </w:r>
      <w:r w:rsidR="00AE4472">
        <w:rPr>
          <w:lang w:val="el-GR"/>
        </w:rPr>
        <w:lastRenderedPageBreak/>
        <w:t>υποστήριξη των  θυμάτων και εκπαιδευτικών σεμιναρίων</w:t>
      </w:r>
      <w:r w:rsidRPr="00743703">
        <w:rPr>
          <w:lang w:val="el-GR"/>
        </w:rPr>
        <w:t xml:space="preserve"> για όλες τις επαγγελματικές ομάδες, συμπεριλαμβανομένων των αστυνομικών</w:t>
      </w:r>
      <w:r w:rsidR="00AE4472">
        <w:rPr>
          <w:lang w:val="el-GR"/>
        </w:rPr>
        <w:t>,</w:t>
      </w:r>
      <w:r w:rsidRPr="00743703">
        <w:rPr>
          <w:lang w:val="el-GR"/>
        </w:rPr>
        <w:t xml:space="preserve"> είναι ένα καλό μοντέλο που θα μπορούσε επίσης να</w:t>
      </w:r>
      <w:r w:rsidR="00AE4472">
        <w:rPr>
          <w:lang w:val="el-GR"/>
        </w:rPr>
        <w:t xml:space="preserve"> ακολουθείται για την έρευνα των</w:t>
      </w:r>
      <w:r w:rsidRPr="00743703">
        <w:rPr>
          <w:lang w:val="el-GR"/>
        </w:rPr>
        <w:t xml:space="preserve"> βασανιστ</w:t>
      </w:r>
      <w:r w:rsidR="00AE4472">
        <w:rPr>
          <w:lang w:val="el-GR"/>
        </w:rPr>
        <w:t>ηρίων</w:t>
      </w:r>
      <w:r w:rsidRPr="00743703">
        <w:rPr>
          <w:lang w:val="el-GR"/>
        </w:rPr>
        <w:t>, τουλάχιστον εάν η πολιτική κατάσταση το επιτρέπει.</w:t>
      </w:r>
    </w:p>
    <w:p w:rsidR="00AE06AA" w:rsidRDefault="00AE06AA" w:rsidP="00743703">
      <w:pPr>
        <w:rPr>
          <w:lang w:val="el-GR"/>
        </w:rPr>
      </w:pPr>
      <w:r w:rsidRPr="00AE06AA">
        <w:rPr>
          <w:lang w:val="el-GR"/>
        </w:rPr>
        <w:t xml:space="preserve">Η ειδική, αλλά αρκετά συχνή πρόκληση τέτοιων πολύπλοκων ψυχολογικών μηχανισμών ως «μεταβίβαση», - έντονα συναισθήματα όπως η αποστροφή ή δυσπιστία </w:t>
      </w:r>
      <w:r>
        <w:rPr>
          <w:lang w:val="el-GR"/>
        </w:rPr>
        <w:t>μη βασισμένη σε γεγονότα</w:t>
      </w:r>
      <w:r w:rsidRPr="00AE06AA">
        <w:rPr>
          <w:lang w:val="el-GR"/>
        </w:rPr>
        <w:t xml:space="preserve"> - που μπορεί να προκύψουν κατά την αλληλεπίδραση με το σοβαρά τραυματισμένο άτομο είναι ένα</w:t>
      </w:r>
      <w:r>
        <w:rPr>
          <w:lang w:val="el-GR"/>
        </w:rPr>
        <w:t xml:space="preserve"> πρόβλημα που περιγράφεται στο Π</w:t>
      </w:r>
      <w:r w:rsidRPr="00AE06AA">
        <w:rPr>
          <w:lang w:val="el-GR"/>
        </w:rPr>
        <w:t xml:space="preserve">ρωτόκολλο της Κωνσταντινούπολης, αλλά απαιτεί συμπληρωματικές πληροφορίες ή κατάρτιση για την υγειονομική περίθαλψη και </w:t>
      </w:r>
      <w:r>
        <w:rPr>
          <w:lang w:val="el-GR"/>
        </w:rPr>
        <w:t>για τους νομικούς</w:t>
      </w:r>
      <w:r w:rsidRPr="00AE06AA">
        <w:rPr>
          <w:lang w:val="el-GR"/>
        </w:rPr>
        <w:t xml:space="preserve"> εμπειρογνώμον</w:t>
      </w:r>
      <w:r>
        <w:rPr>
          <w:lang w:val="el-GR"/>
        </w:rPr>
        <w:t>ες</w:t>
      </w:r>
      <w:r w:rsidRPr="00AE06AA">
        <w:rPr>
          <w:lang w:val="el-GR"/>
        </w:rPr>
        <w:t xml:space="preserve"> που δεν </w:t>
      </w:r>
      <w:r>
        <w:rPr>
          <w:lang w:val="el-GR"/>
        </w:rPr>
        <w:t xml:space="preserve">είναι </w:t>
      </w:r>
      <w:r w:rsidRPr="00AE06AA">
        <w:rPr>
          <w:lang w:val="el-GR"/>
        </w:rPr>
        <w:t>εκπαιδε</w:t>
      </w:r>
      <w:r>
        <w:rPr>
          <w:lang w:val="el-GR"/>
        </w:rPr>
        <w:t>υμένοι να αλληλεπιδρούν</w:t>
      </w:r>
      <w:r w:rsidRPr="00AE06AA">
        <w:rPr>
          <w:lang w:val="el-GR"/>
        </w:rPr>
        <w:t xml:space="preserve"> με αυτ</w:t>
      </w:r>
      <w:r>
        <w:rPr>
          <w:lang w:val="el-GR"/>
        </w:rPr>
        <w:t>ές τις</w:t>
      </w:r>
      <w:r w:rsidRPr="00AE06AA">
        <w:rPr>
          <w:lang w:val="el-GR"/>
        </w:rPr>
        <w:t xml:space="preserve"> ομάδες. Αυτ</w:t>
      </w:r>
      <w:r>
        <w:rPr>
          <w:lang w:val="el-GR"/>
        </w:rPr>
        <w:t>οί οι</w:t>
      </w:r>
      <w:r w:rsidRPr="00AE06AA">
        <w:rPr>
          <w:lang w:val="el-GR"/>
        </w:rPr>
        <w:t xml:space="preserve"> μηχανισμοί επηρεάζουν τη συμπεριφορά στην αλληλεπίδραση με το θύμα, ακόμη και αν ο επαγγελματίας </w:t>
      </w:r>
      <w:r w:rsidR="003B094A">
        <w:rPr>
          <w:lang w:val="el-GR"/>
        </w:rPr>
        <w:t>το αγνοεί, και μπορεί να οδηγήσουν</w:t>
      </w:r>
      <w:r w:rsidRPr="00AE06AA">
        <w:rPr>
          <w:lang w:val="el-GR"/>
        </w:rPr>
        <w:t xml:space="preserve"> σε άδικη μεταχείριση ή για παράδειγμα, </w:t>
      </w:r>
      <w:r w:rsidR="003B094A">
        <w:rPr>
          <w:lang w:val="el-GR"/>
        </w:rPr>
        <w:t>σε</w:t>
      </w:r>
      <w:r w:rsidRPr="00AE06AA">
        <w:rPr>
          <w:lang w:val="el-GR"/>
        </w:rPr>
        <w:t xml:space="preserve"> αποφυγή μιας υπόθεσης.</w:t>
      </w:r>
    </w:p>
    <w:p w:rsidR="003B094A" w:rsidRPr="003B094A" w:rsidRDefault="003B094A" w:rsidP="003B094A">
      <w:pPr>
        <w:rPr>
          <w:lang w:val="el-GR"/>
        </w:rPr>
      </w:pPr>
      <w:r w:rsidRPr="003B094A">
        <w:rPr>
          <w:lang w:val="el-GR"/>
        </w:rPr>
        <w:t xml:space="preserve">Ένα τελευταίο χαρακτηριστικό κοινό πρόβλημα μπορεί να είναι </w:t>
      </w:r>
      <w:r>
        <w:rPr>
          <w:lang w:val="el-GR"/>
        </w:rPr>
        <w:t xml:space="preserve">από μόνη της η </w:t>
      </w:r>
      <w:r w:rsidRPr="003B094A">
        <w:rPr>
          <w:lang w:val="el-GR"/>
        </w:rPr>
        <w:t>επαγγελματικ</w:t>
      </w:r>
      <w:r>
        <w:rPr>
          <w:lang w:val="el-GR"/>
        </w:rPr>
        <w:t>ή γλώσσα.</w:t>
      </w:r>
    </w:p>
    <w:p w:rsidR="008C538C" w:rsidRPr="003B094A" w:rsidRDefault="003B094A">
      <w:pPr>
        <w:rPr>
          <w:lang w:val="el-GR"/>
        </w:rPr>
      </w:pPr>
      <w:r w:rsidRPr="003B094A">
        <w:rPr>
          <w:lang w:val="el-GR"/>
        </w:rPr>
        <w:t>Ένα</w:t>
      </w:r>
      <w:r>
        <w:rPr>
          <w:lang w:val="el-GR"/>
        </w:rPr>
        <w:t>ς</w:t>
      </w:r>
      <w:r w:rsidRPr="003B094A">
        <w:rPr>
          <w:lang w:val="el-GR"/>
        </w:rPr>
        <w:t xml:space="preserve"> συγκεκριμένο</w:t>
      </w:r>
      <w:r>
        <w:rPr>
          <w:lang w:val="el-GR"/>
        </w:rPr>
        <w:t>ς</w:t>
      </w:r>
      <w:r w:rsidRPr="003B094A">
        <w:rPr>
          <w:lang w:val="el-GR"/>
        </w:rPr>
        <w:t xml:space="preserve"> όρο</w:t>
      </w:r>
      <w:r>
        <w:rPr>
          <w:lang w:val="el-GR"/>
        </w:rPr>
        <w:t>ς</w:t>
      </w:r>
      <w:r w:rsidR="008B4934">
        <w:rPr>
          <w:lang w:val="el-GR"/>
        </w:rPr>
        <w:t>, για παράδειγμα «αποσύνδεση»,</w:t>
      </w:r>
      <w:r w:rsidRPr="003B094A">
        <w:rPr>
          <w:lang w:val="el-GR"/>
        </w:rPr>
        <w:t xml:space="preserve"> μπορεί να περ</w:t>
      </w:r>
      <w:r w:rsidR="008B4934">
        <w:rPr>
          <w:lang w:val="el-GR"/>
        </w:rPr>
        <w:t>ιγράψει διαφορετικά φαινόμενα στην</w:t>
      </w:r>
      <w:r w:rsidRPr="003B094A">
        <w:rPr>
          <w:lang w:val="el-GR"/>
        </w:rPr>
        <w:t xml:space="preserve"> νομικ</w:t>
      </w:r>
      <w:r w:rsidR="008B4934">
        <w:rPr>
          <w:lang w:val="el-GR"/>
        </w:rPr>
        <w:t>ή και ιατρική</w:t>
      </w:r>
      <w:r w:rsidRPr="003B094A">
        <w:rPr>
          <w:lang w:val="el-GR"/>
        </w:rPr>
        <w:t xml:space="preserve"> γλώσσ</w:t>
      </w:r>
      <w:r w:rsidR="008B4934">
        <w:rPr>
          <w:lang w:val="el-GR"/>
        </w:rPr>
        <w:t>α</w:t>
      </w:r>
      <w:r w:rsidRPr="003B094A">
        <w:rPr>
          <w:lang w:val="el-GR"/>
        </w:rPr>
        <w:t xml:space="preserve">. </w:t>
      </w:r>
      <w:r w:rsidR="008B4934">
        <w:rPr>
          <w:lang w:val="el-GR"/>
        </w:rPr>
        <w:t xml:space="preserve"> «Αποσύνδεση»</w:t>
      </w:r>
      <w:r w:rsidRPr="003B094A">
        <w:rPr>
          <w:lang w:val="el-GR"/>
        </w:rPr>
        <w:t xml:space="preserve"> στην ιατρική περιγράφει τη</w:t>
      </w:r>
      <w:r w:rsidR="008B4934">
        <w:rPr>
          <w:lang w:val="el-GR"/>
        </w:rPr>
        <w:t>ν κοινή αντίδραση σε πολύ σοβαρούς</w:t>
      </w:r>
      <w:r w:rsidRPr="003B094A">
        <w:rPr>
          <w:lang w:val="el-GR"/>
        </w:rPr>
        <w:t xml:space="preserve"> και συνήθως μακράς διαρκείας στρεσογόνους παράγοντες, </w:t>
      </w:r>
      <w:r w:rsidR="008B4934">
        <w:rPr>
          <w:lang w:val="el-GR"/>
        </w:rPr>
        <w:t xml:space="preserve"> </w:t>
      </w:r>
      <w:r w:rsidRPr="003B094A">
        <w:rPr>
          <w:lang w:val="el-GR"/>
        </w:rPr>
        <w:t>που οδηγεί σε</w:t>
      </w:r>
      <w:r w:rsidR="008B4934">
        <w:rPr>
          <w:lang w:val="el-GR"/>
        </w:rPr>
        <w:t xml:space="preserve"> ένα</w:t>
      </w:r>
      <w:r w:rsidRPr="003B094A">
        <w:rPr>
          <w:lang w:val="el-GR"/>
        </w:rPr>
        <w:t xml:space="preserve"> «σβήσιμο» από τη σημερινή κατάσταση. Είναι συχνή σε θύματα βασανιστηρίων που έχουν κακοποιηθεί κατά τη διάρκεια </w:t>
      </w:r>
      <w:r w:rsidR="008B4934">
        <w:rPr>
          <w:lang w:val="el-GR"/>
        </w:rPr>
        <w:t xml:space="preserve">μακράς </w:t>
      </w:r>
      <w:r w:rsidRPr="003B094A">
        <w:rPr>
          <w:lang w:val="el-GR"/>
        </w:rPr>
        <w:t>χρονικής περιόδου, ​​αλλά και σε θύματα σεξουαλικής βίας ή βίας στην παιδική ηλικία. Μπορεί να οδηγήσει σε απώλεια πρόσβασης στις μνήμες των στρεσογόν</w:t>
      </w:r>
      <w:r w:rsidR="008B4934">
        <w:rPr>
          <w:lang w:val="el-GR"/>
        </w:rPr>
        <w:t>ων</w:t>
      </w:r>
      <w:r w:rsidRPr="003B094A">
        <w:rPr>
          <w:lang w:val="el-GR"/>
        </w:rPr>
        <w:t xml:space="preserve"> γεγονότ</w:t>
      </w:r>
      <w:r w:rsidR="008B4934">
        <w:rPr>
          <w:lang w:val="el-GR"/>
        </w:rPr>
        <w:t>ων</w:t>
      </w:r>
      <w:r w:rsidRPr="003B094A">
        <w:rPr>
          <w:lang w:val="el-GR"/>
        </w:rPr>
        <w:t xml:space="preserve">, αλλά και </w:t>
      </w:r>
      <w:r w:rsidR="008B4934">
        <w:rPr>
          <w:lang w:val="el-GR"/>
        </w:rPr>
        <w:t>σ</w:t>
      </w:r>
      <w:r w:rsidRPr="003B094A">
        <w:rPr>
          <w:lang w:val="el-GR"/>
        </w:rPr>
        <w:t xml:space="preserve">την έλλειψη συγκέντρωσης και </w:t>
      </w:r>
      <w:r w:rsidR="008B4934">
        <w:rPr>
          <w:lang w:val="el-GR"/>
        </w:rPr>
        <w:t>σ</w:t>
      </w:r>
      <w:r w:rsidRPr="003B094A">
        <w:rPr>
          <w:lang w:val="el-GR"/>
        </w:rPr>
        <w:t xml:space="preserve">την </w:t>
      </w:r>
      <w:r w:rsidR="008B4934">
        <w:rPr>
          <w:lang w:val="el-GR"/>
        </w:rPr>
        <w:t xml:space="preserve">έλλειψη </w:t>
      </w:r>
      <w:r w:rsidRPr="003B094A">
        <w:rPr>
          <w:lang w:val="el-GR"/>
        </w:rPr>
        <w:t>ικανότητα</w:t>
      </w:r>
      <w:r w:rsidR="008B4934">
        <w:rPr>
          <w:lang w:val="el-GR"/>
        </w:rPr>
        <w:t>ς</w:t>
      </w:r>
      <w:r w:rsidRPr="003B094A">
        <w:rPr>
          <w:lang w:val="el-GR"/>
        </w:rPr>
        <w:t xml:space="preserve"> να</w:t>
      </w:r>
      <w:r w:rsidR="008B4934">
        <w:rPr>
          <w:lang w:val="el-GR"/>
        </w:rPr>
        <w:t xml:space="preserve"> ακολουθήσουν συνεντεύξεις ή</w:t>
      </w:r>
      <w:r w:rsidRPr="003B094A">
        <w:rPr>
          <w:lang w:val="el-GR"/>
        </w:rPr>
        <w:t xml:space="preserve"> νομικές διαδικασίες.</w:t>
      </w:r>
      <w:r w:rsidR="00C07488" w:rsidRPr="008B4934">
        <w:rPr>
          <w:lang w:val="el-GR"/>
        </w:rPr>
        <w:br/>
      </w:r>
      <w:r w:rsidR="00C07488" w:rsidRPr="008B4934">
        <w:rPr>
          <w:lang w:val="el-GR"/>
        </w:rPr>
        <w:br/>
      </w:r>
    </w:p>
    <w:p w:rsidR="00804BF9" w:rsidRPr="008B4934" w:rsidRDefault="00EB7954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287020</wp:posOffset>
            </wp:positionV>
            <wp:extent cx="1874520" cy="1257300"/>
            <wp:effectExtent l="0" t="0" r="0" b="0"/>
            <wp:wrapSquare wrapText="bothSides"/>
            <wp:docPr id="9" name="Picture 9" descr="C:\Users\tw\AppData\Local\Microsoft\Windows\Temporary Internet Files\Content.IE5\HWL6J1IQ\MP9000786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w\AppData\Local\Microsoft\Windows\Temporary Internet Files\Content.IE5\HWL6J1IQ\MP90007861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488" w:rsidRPr="00E06DD4" w:rsidRDefault="00E06DD4" w:rsidP="00804BF9">
      <w:pPr>
        <w:pStyle w:val="2"/>
        <w:rPr>
          <w:b w:val="0"/>
          <w:i w:val="0"/>
          <w:lang w:val="el-GR"/>
        </w:rPr>
      </w:pPr>
      <w:r>
        <w:rPr>
          <w:b w:val="0"/>
          <w:i w:val="0"/>
          <w:lang w:val="el-GR"/>
        </w:rPr>
        <w:t>Συνεργασία</w:t>
      </w:r>
    </w:p>
    <w:p w:rsidR="00804BF9" w:rsidRPr="00E06DD4" w:rsidRDefault="00804BF9">
      <w:pPr>
        <w:rPr>
          <w:lang w:val="el-GR"/>
        </w:rPr>
      </w:pPr>
    </w:p>
    <w:p w:rsidR="00E06DD4" w:rsidRPr="00E06DD4" w:rsidRDefault="00E06DD4" w:rsidP="00E06DD4">
      <w:pPr>
        <w:rPr>
          <w:lang w:val="el-GR"/>
        </w:rPr>
      </w:pPr>
      <w:r w:rsidRPr="00E06DD4">
        <w:rPr>
          <w:lang w:val="el-GR"/>
        </w:rPr>
        <w:t xml:space="preserve">Εκτός από τη βελτίωση της ποιότητας των αποτελεσμάτων στην δικαστική υπόθεση, και </w:t>
      </w:r>
      <w:r>
        <w:rPr>
          <w:lang w:val="el-GR"/>
        </w:rPr>
        <w:t>τ</w:t>
      </w:r>
      <w:r w:rsidRPr="00E06DD4">
        <w:rPr>
          <w:lang w:val="el-GR"/>
        </w:rPr>
        <w:t>η</w:t>
      </w:r>
      <w:r>
        <w:rPr>
          <w:lang w:val="el-GR"/>
        </w:rPr>
        <w:t>ν αποφυγή του</w:t>
      </w:r>
      <w:r w:rsidRPr="00E06DD4">
        <w:rPr>
          <w:lang w:val="el-GR"/>
        </w:rPr>
        <w:t xml:space="preserve"> πολύ έντονο</w:t>
      </w:r>
      <w:r>
        <w:rPr>
          <w:lang w:val="el-GR"/>
        </w:rPr>
        <w:t>υ</w:t>
      </w:r>
      <w:r w:rsidRPr="00E06DD4">
        <w:rPr>
          <w:lang w:val="el-GR"/>
        </w:rPr>
        <w:t xml:space="preserve"> στρες, ή </w:t>
      </w:r>
      <w:r>
        <w:rPr>
          <w:lang w:val="el-GR"/>
        </w:rPr>
        <w:t>την εκ νέου τραυματική εμπειρία</w:t>
      </w:r>
      <w:r w:rsidRPr="00E06DD4">
        <w:rPr>
          <w:lang w:val="el-GR"/>
        </w:rPr>
        <w:t xml:space="preserve"> - και τα δύο </w:t>
      </w:r>
      <w:r>
        <w:rPr>
          <w:lang w:val="el-GR"/>
        </w:rPr>
        <w:t xml:space="preserve">αυτά </w:t>
      </w:r>
      <w:r w:rsidRPr="00E06DD4">
        <w:rPr>
          <w:lang w:val="el-GR"/>
        </w:rPr>
        <w:t xml:space="preserve">αποτελέσματα </w:t>
      </w:r>
      <w:r>
        <w:rPr>
          <w:lang w:val="el-GR"/>
        </w:rPr>
        <w:t>αποτελούν στόχους</w:t>
      </w:r>
      <w:r w:rsidRPr="00E06DD4">
        <w:rPr>
          <w:lang w:val="el-GR"/>
        </w:rPr>
        <w:t xml:space="preserve"> του </w:t>
      </w:r>
      <w:r>
        <w:rPr>
          <w:lang w:val="el-GR"/>
        </w:rPr>
        <w:t>Π</w:t>
      </w:r>
      <w:r w:rsidRPr="00E06DD4">
        <w:rPr>
          <w:lang w:val="el-GR"/>
        </w:rPr>
        <w:t>ρωτοκό</w:t>
      </w:r>
      <w:r>
        <w:rPr>
          <w:lang w:val="el-GR"/>
        </w:rPr>
        <w:t>λλου της Κωνσταντινούπολης - η</w:t>
      </w:r>
      <w:r w:rsidRPr="00E06DD4">
        <w:rPr>
          <w:lang w:val="el-GR"/>
        </w:rPr>
        <w:t xml:space="preserve"> καλύτερη επικοινωνία και κατανόηση της αμοιβαίας εργασίας αναμένεται να οδηγήσει σε γενικά κα</w:t>
      </w:r>
      <w:r>
        <w:rPr>
          <w:lang w:val="el-GR"/>
        </w:rPr>
        <w:t xml:space="preserve">λύτερη συνεργασία και </w:t>
      </w:r>
      <w:r w:rsidRPr="00E06DD4">
        <w:rPr>
          <w:lang w:val="el-GR"/>
        </w:rPr>
        <w:t>σεβασμό μεταξύ των εμπλεκόμενων επαγγελμάτων.</w:t>
      </w:r>
    </w:p>
    <w:p w:rsidR="00E06DD4" w:rsidRPr="00E06DD4" w:rsidRDefault="00E06DD4" w:rsidP="00E06DD4">
      <w:pPr>
        <w:rPr>
          <w:lang w:val="el-GR"/>
        </w:rPr>
      </w:pPr>
      <w:r>
        <w:rPr>
          <w:lang w:val="el-GR"/>
        </w:rPr>
        <w:t>Συνεπώς, τ</w:t>
      </w:r>
      <w:r w:rsidRPr="00E06DD4">
        <w:rPr>
          <w:lang w:val="el-GR"/>
        </w:rPr>
        <w:t>α περισσότερα έργα που αποσκοπούν στην προώθηση ή τη διδασκαλία</w:t>
      </w:r>
      <w:r>
        <w:rPr>
          <w:lang w:val="el-GR"/>
        </w:rPr>
        <w:t xml:space="preserve"> του Π</w:t>
      </w:r>
      <w:r w:rsidRPr="00E06DD4">
        <w:rPr>
          <w:lang w:val="el-GR"/>
        </w:rPr>
        <w:t xml:space="preserve">ρωτοκόλλου της Κωνσταντινούπολης </w:t>
      </w:r>
      <w:r>
        <w:rPr>
          <w:lang w:val="el-GR"/>
        </w:rPr>
        <w:t>τονίζουν</w:t>
      </w:r>
      <w:r w:rsidRPr="00E06DD4">
        <w:rPr>
          <w:lang w:val="el-GR"/>
        </w:rPr>
        <w:t xml:space="preserve"> τη σημασία της συνεργατικής μάθησης (</w:t>
      </w:r>
      <w:r>
        <w:t>COLE</w:t>
      </w:r>
      <w:r w:rsidRPr="00E06DD4">
        <w:rPr>
          <w:lang w:val="el-GR"/>
        </w:rPr>
        <w:t>) μεταξύ των διαφόρων επαγγελμάτων.</w:t>
      </w:r>
    </w:p>
    <w:p w:rsidR="00804BF9" w:rsidRPr="00E06DD4" w:rsidRDefault="00E06DD4">
      <w:pPr>
        <w:rPr>
          <w:lang w:val="el-GR"/>
        </w:rPr>
      </w:pPr>
      <w:r>
        <w:rPr>
          <w:lang w:val="el-GR"/>
        </w:rPr>
        <w:t>Σ</w:t>
      </w:r>
      <w:r w:rsidRPr="00E06DD4">
        <w:rPr>
          <w:lang w:val="el-GR"/>
        </w:rPr>
        <w:t xml:space="preserve">τρατηγικές </w:t>
      </w:r>
      <w:r>
        <w:rPr>
          <w:lang w:val="el-GR"/>
        </w:rPr>
        <w:t xml:space="preserve">που αναπτύχθηκαν </w:t>
      </w:r>
      <w:r w:rsidRPr="00E06DD4">
        <w:rPr>
          <w:lang w:val="el-GR"/>
        </w:rPr>
        <w:t xml:space="preserve">για την επίτευξη αυτού του στόχου θα παρουσιαστούν στο δεύτερο μέρος αυτής της ενότητας των υλικών </w:t>
      </w:r>
      <w:r>
        <w:t>ARTIP</w:t>
      </w:r>
      <w:r w:rsidRPr="00E06DD4">
        <w:rPr>
          <w:lang w:val="el-GR"/>
        </w:rPr>
        <w:t>.</w:t>
      </w:r>
    </w:p>
    <w:p w:rsidR="00F7112B" w:rsidRPr="001573F3" w:rsidRDefault="00F7112B"/>
    <w:sectPr w:rsidR="00F7112B" w:rsidRPr="001573F3" w:rsidSect="003707C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A61" w:rsidRDefault="009B7A61" w:rsidP="0011203B">
      <w:pPr>
        <w:spacing w:after="0" w:line="240" w:lineRule="auto"/>
      </w:pPr>
      <w:r>
        <w:separator/>
      </w:r>
    </w:p>
  </w:endnote>
  <w:endnote w:type="continuationSeparator" w:id="1">
    <w:p w:rsidR="009B7A61" w:rsidRDefault="009B7A61" w:rsidP="0011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870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375" w:rsidRDefault="00587375">
        <w:pPr>
          <w:pStyle w:val="a7"/>
          <w:jc w:val="center"/>
        </w:pPr>
        <w:fldSimple w:instr=" PAGE   \* MERGEFORMAT ">
          <w:r w:rsidR="00E06DD4">
            <w:rPr>
              <w:noProof/>
            </w:rPr>
            <w:t>4</w:t>
          </w:r>
        </w:fldSimple>
      </w:p>
    </w:sdtContent>
  </w:sdt>
  <w:p w:rsidR="00587375" w:rsidRDefault="005873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A61" w:rsidRDefault="009B7A61" w:rsidP="0011203B">
      <w:pPr>
        <w:spacing w:after="0" w:line="240" w:lineRule="auto"/>
      </w:pPr>
      <w:r>
        <w:separator/>
      </w:r>
    </w:p>
  </w:footnote>
  <w:footnote w:type="continuationSeparator" w:id="1">
    <w:p w:rsidR="009B7A61" w:rsidRDefault="009B7A61" w:rsidP="0011203B">
      <w:pPr>
        <w:spacing w:after="0" w:line="240" w:lineRule="auto"/>
      </w:pPr>
      <w:r>
        <w:continuationSeparator/>
      </w:r>
    </w:p>
  </w:footnote>
  <w:footnote w:id="2">
    <w:p w:rsidR="00AE4472" w:rsidRPr="00743703" w:rsidRDefault="00AE4472" w:rsidP="00AE4472">
      <w:pPr>
        <w:pStyle w:val="a3"/>
        <w:rPr>
          <w:lang w:val="el-GR"/>
        </w:rPr>
      </w:pPr>
      <w:r>
        <w:rPr>
          <w:rStyle w:val="a4"/>
        </w:rPr>
        <w:footnoteRef/>
      </w:r>
      <w:r w:rsidRPr="00743703">
        <w:rPr>
          <w:lang w:val="el-GR"/>
        </w:rPr>
        <w:t xml:space="preserve"> </w:t>
      </w:r>
      <w:r>
        <w:rPr>
          <w:lang w:val="el-GR"/>
        </w:rPr>
        <w:t>Βλ</w:t>
      </w:r>
      <w:r w:rsidRPr="00743703">
        <w:rPr>
          <w:lang w:val="el-GR"/>
        </w:rPr>
        <w:t xml:space="preserve">. </w:t>
      </w:r>
      <w:r>
        <w:rPr>
          <w:lang w:val="el-GR"/>
        </w:rPr>
        <w:t>Για</w:t>
      </w:r>
      <w:r w:rsidRPr="00743703">
        <w:rPr>
          <w:lang w:val="el-GR"/>
        </w:rPr>
        <w:t xml:space="preserve"> </w:t>
      </w:r>
      <w:r>
        <w:rPr>
          <w:lang w:val="el-GR"/>
        </w:rPr>
        <w:t>παράδειγμα</w:t>
      </w:r>
      <w:r w:rsidRPr="00743703">
        <w:rPr>
          <w:lang w:val="el-GR"/>
        </w:rPr>
        <w:t xml:space="preserve"> (</w:t>
      </w:r>
      <w:hyperlink r:id="rId1" w:history="1">
        <w:r w:rsidRPr="00263D6C">
          <w:rPr>
            <w:rStyle w:val="-"/>
          </w:rPr>
          <w:t>http</w:t>
        </w:r>
        <w:r w:rsidRPr="00743703">
          <w:rPr>
            <w:rStyle w:val="-"/>
            <w:lang w:val="el-GR"/>
          </w:rPr>
          <w:t>://</w:t>
        </w:r>
        <w:r w:rsidRPr="00263D6C">
          <w:rPr>
            <w:rStyle w:val="-"/>
          </w:rPr>
          <w:t>eur</w:t>
        </w:r>
        <w:r w:rsidRPr="00743703">
          <w:rPr>
            <w:rStyle w:val="-"/>
            <w:lang w:val="el-GR"/>
          </w:rPr>
          <w:t>-</w:t>
        </w:r>
        <w:r w:rsidRPr="00263D6C">
          <w:rPr>
            <w:rStyle w:val="-"/>
          </w:rPr>
          <w:t>lex</w:t>
        </w:r>
        <w:r w:rsidRPr="00743703">
          <w:rPr>
            <w:rStyle w:val="-"/>
            <w:lang w:val="el-GR"/>
          </w:rPr>
          <w:t>.</w:t>
        </w:r>
        <w:r w:rsidRPr="00263D6C">
          <w:rPr>
            <w:rStyle w:val="-"/>
          </w:rPr>
          <w:t>europa</w:t>
        </w:r>
        <w:r w:rsidRPr="00743703">
          <w:rPr>
            <w:rStyle w:val="-"/>
            <w:lang w:val="el-GR"/>
          </w:rPr>
          <w:t>.</w:t>
        </w:r>
        <w:r w:rsidRPr="00263D6C">
          <w:rPr>
            <w:rStyle w:val="-"/>
          </w:rPr>
          <w:t>eu</w:t>
        </w:r>
        <w:r w:rsidRPr="00743703">
          <w:rPr>
            <w:rStyle w:val="-"/>
            <w:lang w:val="el-GR"/>
          </w:rPr>
          <w:t>/</w:t>
        </w:r>
        <w:r w:rsidRPr="00263D6C">
          <w:rPr>
            <w:rStyle w:val="-"/>
          </w:rPr>
          <w:t>LexUriServ</w:t>
        </w:r>
        <w:r w:rsidRPr="00743703">
          <w:rPr>
            <w:rStyle w:val="-"/>
            <w:lang w:val="el-GR"/>
          </w:rPr>
          <w:t>/</w:t>
        </w:r>
        <w:r w:rsidRPr="00263D6C">
          <w:rPr>
            <w:rStyle w:val="-"/>
          </w:rPr>
          <w:t>LexUriServ</w:t>
        </w:r>
        <w:r w:rsidRPr="00743703">
          <w:rPr>
            <w:rStyle w:val="-"/>
            <w:lang w:val="el-GR"/>
          </w:rPr>
          <w:t>.</w:t>
        </w:r>
        <w:r w:rsidRPr="00263D6C">
          <w:rPr>
            <w:rStyle w:val="-"/>
          </w:rPr>
          <w:t>do</w:t>
        </w:r>
        <w:r w:rsidRPr="00743703">
          <w:rPr>
            <w:rStyle w:val="-"/>
            <w:lang w:val="el-GR"/>
          </w:rPr>
          <w:t>?</w:t>
        </w:r>
        <w:r w:rsidRPr="00263D6C">
          <w:rPr>
            <w:rStyle w:val="-"/>
          </w:rPr>
          <w:t>uri</w:t>
        </w:r>
        <w:r w:rsidRPr="00743703">
          <w:rPr>
            <w:rStyle w:val="-"/>
            <w:lang w:val="el-GR"/>
          </w:rPr>
          <w:t>=</w:t>
        </w:r>
        <w:r w:rsidRPr="00263D6C">
          <w:rPr>
            <w:rStyle w:val="-"/>
          </w:rPr>
          <w:t>OJ</w:t>
        </w:r>
        <w:r w:rsidRPr="00743703">
          <w:rPr>
            <w:rStyle w:val="-"/>
            <w:lang w:val="el-GR"/>
          </w:rPr>
          <w:t>:</w:t>
        </w:r>
        <w:r w:rsidRPr="00263D6C">
          <w:rPr>
            <w:rStyle w:val="-"/>
          </w:rPr>
          <w:t>L</w:t>
        </w:r>
        <w:r w:rsidRPr="00743703">
          <w:rPr>
            <w:rStyle w:val="-"/>
            <w:lang w:val="el-GR"/>
          </w:rPr>
          <w:t>:2004:261:0015:0018:</w:t>
        </w:r>
        <w:r w:rsidRPr="00263D6C">
          <w:rPr>
            <w:rStyle w:val="-"/>
          </w:rPr>
          <w:t>en</w:t>
        </w:r>
        <w:r w:rsidRPr="00743703">
          <w:rPr>
            <w:rStyle w:val="-"/>
            <w:lang w:val="el-GR"/>
          </w:rPr>
          <w:t>:</w:t>
        </w:r>
        <w:r w:rsidRPr="00263D6C">
          <w:rPr>
            <w:rStyle w:val="-"/>
          </w:rPr>
          <w:t>PDF</w:t>
        </w:r>
      </w:hyperlink>
      <w:r w:rsidRPr="00743703">
        <w:rPr>
          <w:lang w:val="el-GR"/>
        </w:rPr>
        <w:t xml:space="preserve">) </w:t>
      </w:r>
      <w:r>
        <w:rPr>
          <w:lang w:val="el-GR"/>
        </w:rPr>
        <w:t xml:space="preserve">ή το πρόγραμμα Στοκχόλμης </w:t>
      </w:r>
      <w:hyperlink r:id="rId2" w:history="1">
        <w:r w:rsidRPr="00263D6C">
          <w:rPr>
            <w:rStyle w:val="-"/>
          </w:rPr>
          <w:t>http</w:t>
        </w:r>
        <w:r w:rsidRPr="00743703">
          <w:rPr>
            <w:rStyle w:val="-"/>
            <w:lang w:val="el-GR"/>
          </w:rPr>
          <w:t>://</w:t>
        </w:r>
        <w:r w:rsidRPr="00263D6C">
          <w:rPr>
            <w:rStyle w:val="-"/>
          </w:rPr>
          <w:t>ec</w:t>
        </w:r>
        <w:r w:rsidRPr="00743703">
          <w:rPr>
            <w:rStyle w:val="-"/>
            <w:lang w:val="el-GR"/>
          </w:rPr>
          <w:t>.</w:t>
        </w:r>
        <w:r w:rsidRPr="00263D6C">
          <w:rPr>
            <w:rStyle w:val="-"/>
          </w:rPr>
          <w:t>europa</w:t>
        </w:r>
        <w:r w:rsidRPr="00743703">
          <w:rPr>
            <w:rStyle w:val="-"/>
            <w:lang w:val="el-GR"/>
          </w:rPr>
          <w:t>.</w:t>
        </w:r>
        <w:r w:rsidRPr="00263D6C">
          <w:rPr>
            <w:rStyle w:val="-"/>
          </w:rPr>
          <w:t>eu</w:t>
        </w:r>
        <w:r w:rsidRPr="00743703">
          <w:rPr>
            <w:rStyle w:val="-"/>
            <w:lang w:val="el-GR"/>
          </w:rPr>
          <w:t>/</w:t>
        </w:r>
        <w:r w:rsidRPr="00263D6C">
          <w:rPr>
            <w:rStyle w:val="-"/>
          </w:rPr>
          <w:t>wel</w:t>
        </w:r>
        <w:r w:rsidRPr="00743703">
          <w:rPr>
            <w:rStyle w:val="-"/>
            <w:lang w:val="el-GR"/>
          </w:rPr>
          <w:t>/</w:t>
        </w:r>
        <w:r w:rsidRPr="00263D6C">
          <w:rPr>
            <w:rStyle w:val="-"/>
          </w:rPr>
          <w:t>images</w:t>
        </w:r>
        <w:r w:rsidRPr="00743703">
          <w:rPr>
            <w:rStyle w:val="-"/>
            <w:lang w:val="el-GR"/>
          </w:rPr>
          <w:t>/</w:t>
        </w:r>
        <w:r w:rsidRPr="00263D6C">
          <w:rPr>
            <w:rStyle w:val="-"/>
          </w:rPr>
          <w:t>doc</w:t>
        </w:r>
        <w:r w:rsidRPr="00743703">
          <w:rPr>
            <w:rStyle w:val="-"/>
            <w:lang w:val="el-GR"/>
          </w:rPr>
          <w:t>_</w:t>
        </w:r>
        <w:r w:rsidRPr="00263D6C">
          <w:rPr>
            <w:rStyle w:val="-"/>
          </w:rPr>
          <w:t>icons</w:t>
        </w:r>
        <w:r w:rsidRPr="00743703">
          <w:rPr>
            <w:rStyle w:val="-"/>
            <w:lang w:val="el-GR"/>
          </w:rPr>
          <w:t>/</w:t>
        </w:r>
        <w:r w:rsidRPr="00263D6C">
          <w:rPr>
            <w:rStyle w:val="-"/>
          </w:rPr>
          <w:t>f</w:t>
        </w:r>
        <w:r w:rsidRPr="00743703">
          <w:rPr>
            <w:rStyle w:val="-"/>
            <w:lang w:val="el-GR"/>
          </w:rPr>
          <w:t>_</w:t>
        </w:r>
        <w:r w:rsidRPr="00263D6C">
          <w:rPr>
            <w:rStyle w:val="-"/>
          </w:rPr>
          <w:t>pdf</w:t>
        </w:r>
        <w:r w:rsidRPr="00743703">
          <w:rPr>
            <w:rStyle w:val="-"/>
            <w:lang w:val="el-GR"/>
          </w:rPr>
          <w:t>_16.</w:t>
        </w:r>
        <w:r w:rsidRPr="00263D6C">
          <w:rPr>
            <w:rStyle w:val="-"/>
          </w:rPr>
          <w:t>gif</w:t>
        </w:r>
      </w:hyperlink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gnword-docGUID" w:val="{A80A1EC5-2ADA-438A-A5DE-109287C01FAB}"/>
    <w:docVar w:name="dgnword-eventsink" w:val="131036064"/>
  </w:docVars>
  <w:rsids>
    <w:rsidRoot w:val="001573F3"/>
    <w:rsid w:val="00083523"/>
    <w:rsid w:val="0011203B"/>
    <w:rsid w:val="001135C9"/>
    <w:rsid w:val="001573F3"/>
    <w:rsid w:val="001D08DA"/>
    <w:rsid w:val="0021198D"/>
    <w:rsid w:val="00242540"/>
    <w:rsid w:val="00266D14"/>
    <w:rsid w:val="003707C8"/>
    <w:rsid w:val="003810A6"/>
    <w:rsid w:val="003B094A"/>
    <w:rsid w:val="004321E8"/>
    <w:rsid w:val="00433BB7"/>
    <w:rsid w:val="00447FF5"/>
    <w:rsid w:val="004A2903"/>
    <w:rsid w:val="0058246E"/>
    <w:rsid w:val="00587375"/>
    <w:rsid w:val="0071118C"/>
    <w:rsid w:val="0072520C"/>
    <w:rsid w:val="00736A8F"/>
    <w:rsid w:val="00743703"/>
    <w:rsid w:val="00786D8A"/>
    <w:rsid w:val="00804BF9"/>
    <w:rsid w:val="008171BA"/>
    <w:rsid w:val="008B45C8"/>
    <w:rsid w:val="008B4934"/>
    <w:rsid w:val="008C538C"/>
    <w:rsid w:val="008E625E"/>
    <w:rsid w:val="00945ACB"/>
    <w:rsid w:val="009B7A61"/>
    <w:rsid w:val="00A03A3C"/>
    <w:rsid w:val="00AC564D"/>
    <w:rsid w:val="00AE06AA"/>
    <w:rsid w:val="00AE4472"/>
    <w:rsid w:val="00B24FA4"/>
    <w:rsid w:val="00BF764A"/>
    <w:rsid w:val="00C0136C"/>
    <w:rsid w:val="00C07488"/>
    <w:rsid w:val="00C33C0B"/>
    <w:rsid w:val="00C8443C"/>
    <w:rsid w:val="00C847CD"/>
    <w:rsid w:val="00CD3070"/>
    <w:rsid w:val="00CD4352"/>
    <w:rsid w:val="00D25C5E"/>
    <w:rsid w:val="00D568B9"/>
    <w:rsid w:val="00E06DD4"/>
    <w:rsid w:val="00E13CB2"/>
    <w:rsid w:val="00EB7954"/>
    <w:rsid w:val="00EF44AD"/>
    <w:rsid w:val="00F05B47"/>
    <w:rsid w:val="00F7112B"/>
    <w:rsid w:val="00F80D7C"/>
    <w:rsid w:val="00FA2CAE"/>
    <w:rsid w:val="00FC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573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11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73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F711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footnote text"/>
    <w:basedOn w:val="a"/>
    <w:link w:val="Char"/>
    <w:uiPriority w:val="99"/>
    <w:semiHidden/>
    <w:unhideWhenUsed/>
    <w:rsid w:val="0011203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1203B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11203B"/>
    <w:rPr>
      <w:vertAlign w:val="superscript"/>
    </w:rPr>
  </w:style>
  <w:style w:type="character" w:styleId="-">
    <w:name w:val="Hyperlink"/>
    <w:uiPriority w:val="99"/>
    <w:unhideWhenUsed/>
    <w:rsid w:val="0011203B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8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246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Char1"/>
    <w:uiPriority w:val="99"/>
    <w:unhideWhenUsed/>
    <w:rsid w:val="0058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8246E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58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8246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573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11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573F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F7112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footnote text"/>
    <w:basedOn w:val="a"/>
    <w:link w:val="Char"/>
    <w:uiPriority w:val="99"/>
    <w:semiHidden/>
    <w:unhideWhenUsed/>
    <w:rsid w:val="0011203B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1203B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11203B"/>
    <w:rPr>
      <w:vertAlign w:val="superscript"/>
    </w:rPr>
  </w:style>
  <w:style w:type="character" w:styleId="-">
    <w:name w:val="Hyperlink"/>
    <w:uiPriority w:val="99"/>
    <w:unhideWhenUsed/>
    <w:rsid w:val="0011203B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8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8246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Char1"/>
    <w:uiPriority w:val="99"/>
    <w:unhideWhenUsed/>
    <w:rsid w:val="0058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58246E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58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5824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wel/images/doc_icons/f_pdf_16.gif" TargetMode="External"/><Relationship Id="rId1" Type="http://schemas.openxmlformats.org/officeDocument/2006/relationships/hyperlink" Target="http://eur-lex.europa.eu/LexUriServ/LexUriServ.do?uri=OJ:L:2004:261:0015:0018:en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C4F51-8BEC-4A34-8B6E-3E6F4EAB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1961</Words>
  <Characters>10593</Characters>
  <Application>Microsoft Office Word</Application>
  <DocSecurity>0</DocSecurity>
  <Lines>88</Lines>
  <Paragraphs>25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dell</cp:lastModifiedBy>
  <cp:revision>14</cp:revision>
  <dcterms:created xsi:type="dcterms:W3CDTF">2013-02-27T17:02:00Z</dcterms:created>
  <dcterms:modified xsi:type="dcterms:W3CDTF">2013-05-17T08:47:00Z</dcterms:modified>
</cp:coreProperties>
</file>