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69D" w:rsidRDefault="00D00DA5" w:rsidP="004D67C9">
      <w:pPr>
        <w:pStyle w:val="MainTitle"/>
        <w:rPr>
          <w:rFonts w:ascii="Verdana" w:hAnsi="Verdana"/>
          <w:lang w:val="en-US"/>
        </w:rPr>
      </w:pPr>
      <w:r>
        <w:rPr>
          <w:rFonts w:ascii="Verdana" w:hAnsi="Verdana"/>
          <w:noProof/>
        </w:rPr>
        <w:drawing>
          <wp:inline distT="0" distB="0" distL="0" distR="0">
            <wp:extent cx="5248275" cy="2543175"/>
            <wp:effectExtent l="0" t="0" r="0" b="9525"/>
            <wp:docPr id="1" name="Picture 0" descr="ARTip_logo_no_b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Tip_logo_no_bord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8275" cy="2543175"/>
                    </a:xfrm>
                    <a:prstGeom prst="rect">
                      <a:avLst/>
                    </a:prstGeom>
                    <a:noFill/>
                    <a:ln>
                      <a:noFill/>
                    </a:ln>
                  </pic:spPr>
                </pic:pic>
              </a:graphicData>
            </a:graphic>
          </wp:inline>
        </w:drawing>
      </w:r>
    </w:p>
    <w:p w:rsidR="0034169D" w:rsidRDefault="0034169D" w:rsidP="004D67C9">
      <w:pPr>
        <w:pStyle w:val="MainTitle"/>
        <w:rPr>
          <w:rFonts w:ascii="Verdana" w:hAnsi="Verdana"/>
          <w:lang w:val="en-US"/>
        </w:rPr>
      </w:pPr>
    </w:p>
    <w:p w:rsidR="0034169D" w:rsidRDefault="0034169D" w:rsidP="004D67C9">
      <w:pPr>
        <w:pStyle w:val="MainTitle"/>
        <w:rPr>
          <w:rFonts w:ascii="Verdana" w:hAnsi="Verdana"/>
          <w:sz w:val="44"/>
          <w:lang w:val="en-US"/>
        </w:rPr>
      </w:pPr>
    </w:p>
    <w:p w:rsidR="0034169D" w:rsidRDefault="0034169D" w:rsidP="004D67C9">
      <w:pPr>
        <w:pStyle w:val="MainTitle"/>
        <w:rPr>
          <w:rFonts w:ascii="Verdana" w:hAnsi="Verdana"/>
          <w:sz w:val="44"/>
          <w:lang w:val="en-US"/>
        </w:rPr>
      </w:pPr>
    </w:p>
    <w:p w:rsidR="0034169D" w:rsidRPr="001E2038" w:rsidRDefault="005F6401" w:rsidP="001E2038">
      <w:pPr>
        <w:pStyle w:val="MainTitle"/>
        <w:spacing w:line="100" w:lineRule="atLeast"/>
        <w:rPr>
          <w:rFonts w:ascii="Calibri" w:hAnsi="Calibri" w:cs="Calibri"/>
          <w:color w:val="82A9D1"/>
          <w:spacing w:val="0"/>
          <w:sz w:val="44"/>
          <w:szCs w:val="44"/>
          <w:lang w:val="de-DE" w:eastAsia="zh-CN"/>
        </w:rPr>
      </w:pPr>
      <w:bookmarkStart w:id="0" w:name="_GoBack"/>
      <w:r w:rsidRPr="001E2038">
        <w:rPr>
          <w:rFonts w:ascii="Calibri" w:hAnsi="Calibri" w:cs="Calibri"/>
          <w:color w:val="82A9D1"/>
          <w:spacing w:val="0"/>
          <w:sz w:val="44"/>
          <w:szCs w:val="44"/>
          <w:lang w:val="de-DE" w:eastAsia="zh-CN"/>
        </w:rPr>
        <w:t>Internationale Mechanismen und Verfahren zur Überwachung von Menschenrechten</w:t>
      </w:r>
    </w:p>
    <w:bookmarkEnd w:id="0"/>
    <w:p w:rsidR="0034169D" w:rsidRPr="005F6401" w:rsidRDefault="0034169D" w:rsidP="004D67C9">
      <w:pPr>
        <w:pStyle w:val="MainTitle"/>
        <w:rPr>
          <w:rFonts w:ascii="Verdana" w:hAnsi="Verdana"/>
          <w:color w:val="000000"/>
          <w:sz w:val="52"/>
          <w:lang w:val="de-DE"/>
        </w:rPr>
      </w:pPr>
    </w:p>
    <w:p w:rsidR="0034169D" w:rsidRPr="005F6401" w:rsidRDefault="0034169D" w:rsidP="004D67C9">
      <w:pPr>
        <w:spacing w:before="0" w:after="0" w:line="240" w:lineRule="auto"/>
        <w:rPr>
          <w:rFonts w:ascii="Verdana" w:hAnsi="Verdana"/>
          <w:color w:val="000000"/>
          <w:sz w:val="52"/>
          <w:lang w:val="de-DE"/>
        </w:rPr>
        <w:sectPr w:rsidR="0034169D" w:rsidRPr="005F6401" w:rsidSect="005A6499">
          <w:footerReference w:type="default" r:id="rId8"/>
          <w:pgSz w:w="11906" w:h="16838"/>
          <w:pgMar w:top="1438" w:right="1134" w:bottom="1797" w:left="1134" w:header="709" w:footer="709" w:gutter="0"/>
          <w:cols w:space="708"/>
          <w:titlePg/>
          <w:docGrid w:linePitch="360"/>
        </w:sectPr>
      </w:pPr>
    </w:p>
    <w:p w:rsidR="0034169D" w:rsidRDefault="0034169D" w:rsidP="000A3099">
      <w:pPr>
        <w:pStyle w:val="MainTitle"/>
        <w:rPr>
          <w:lang w:val="en-US"/>
        </w:rPr>
      </w:pPr>
      <w:r>
        <w:rPr>
          <w:lang w:val="en-US"/>
        </w:rPr>
        <w:lastRenderedPageBreak/>
        <w:t>[</w:t>
      </w:r>
      <w:r w:rsidRPr="00F11535">
        <w:rPr>
          <w:lang w:val="en-US"/>
        </w:rPr>
        <w:t>page left blank on purpose]</w:t>
      </w:r>
    </w:p>
    <w:p w:rsidR="0034169D" w:rsidRDefault="0034169D" w:rsidP="000A3099">
      <w:pPr>
        <w:pStyle w:val="MainTitle"/>
        <w:rPr>
          <w:lang w:val="en-US"/>
        </w:rPr>
      </w:pPr>
      <w:r>
        <w:rPr>
          <w:lang w:val="en-US"/>
        </w:rPr>
        <w:br w:type="page"/>
      </w:r>
    </w:p>
    <w:p w:rsidR="0034169D" w:rsidRDefault="0034169D" w:rsidP="000A3099">
      <w:pPr>
        <w:pStyle w:val="MainTitle"/>
        <w:rPr>
          <w:sz w:val="20"/>
          <w:szCs w:val="20"/>
          <w:lang w:val="en-US"/>
        </w:rPr>
      </w:pPr>
    </w:p>
    <w:p w:rsidR="0034169D" w:rsidRPr="005816B9" w:rsidRDefault="0034169D" w:rsidP="004D67C9">
      <w:pPr>
        <w:jc w:val="center"/>
        <w:rPr>
          <w:sz w:val="20"/>
          <w:szCs w:val="20"/>
          <w:lang w:val="en-US"/>
        </w:rPr>
      </w:pPr>
      <w:r w:rsidRPr="005816B9">
        <w:rPr>
          <w:sz w:val="20"/>
          <w:szCs w:val="20"/>
          <w:lang w:val="en-US"/>
        </w:rPr>
        <w:t xml:space="preserve">This work is licensed under a </w:t>
      </w:r>
    </w:p>
    <w:p w:rsidR="0034169D" w:rsidRPr="005816B9" w:rsidRDefault="00D27EF5" w:rsidP="004D67C9">
      <w:pPr>
        <w:jc w:val="center"/>
        <w:rPr>
          <w:sz w:val="20"/>
          <w:szCs w:val="20"/>
          <w:lang w:val="en-US"/>
        </w:rPr>
      </w:pPr>
      <w:hyperlink r:id="rId9" w:history="1">
        <w:r w:rsidR="0034169D" w:rsidRPr="005816B9">
          <w:rPr>
            <w:rStyle w:val="Hyperlink"/>
            <w:sz w:val="20"/>
            <w:szCs w:val="20"/>
            <w:lang w:val="en-US"/>
          </w:rPr>
          <w:t>Creative Commons Attribution-</w:t>
        </w:r>
      </w:hyperlink>
      <w:hyperlink r:id="rId10" w:history="1">
        <w:r w:rsidR="0034169D" w:rsidRPr="005816B9">
          <w:rPr>
            <w:rStyle w:val="Hyperlink"/>
            <w:sz w:val="20"/>
            <w:szCs w:val="20"/>
            <w:lang w:val="en-US"/>
          </w:rPr>
          <w:t>NonCommercial</w:t>
        </w:r>
      </w:hyperlink>
      <w:hyperlink r:id="rId11" w:history="1">
        <w:r w:rsidR="0034169D" w:rsidRPr="005816B9">
          <w:rPr>
            <w:rStyle w:val="Hyperlink"/>
            <w:sz w:val="20"/>
            <w:szCs w:val="20"/>
            <w:lang w:val="en-US"/>
          </w:rPr>
          <w:t>-</w:t>
        </w:r>
      </w:hyperlink>
      <w:hyperlink r:id="rId12" w:history="1">
        <w:r w:rsidR="0034169D" w:rsidRPr="005816B9">
          <w:rPr>
            <w:rStyle w:val="Hyperlink"/>
            <w:sz w:val="20"/>
            <w:szCs w:val="20"/>
            <w:lang w:val="en-US"/>
          </w:rPr>
          <w:t>NoDerivs</w:t>
        </w:r>
      </w:hyperlink>
      <w:hyperlink r:id="rId13" w:history="1">
        <w:r w:rsidR="0034169D" w:rsidRPr="005816B9">
          <w:rPr>
            <w:rStyle w:val="Hyperlink"/>
            <w:sz w:val="20"/>
            <w:szCs w:val="20"/>
            <w:lang w:val="en-US"/>
          </w:rPr>
          <w:t xml:space="preserve"> 3.0 </w:t>
        </w:r>
      </w:hyperlink>
      <w:hyperlink r:id="rId14" w:history="1">
        <w:r w:rsidR="0034169D" w:rsidRPr="005816B9">
          <w:rPr>
            <w:rStyle w:val="Hyperlink"/>
            <w:sz w:val="20"/>
            <w:szCs w:val="20"/>
            <w:lang w:val="en-US"/>
          </w:rPr>
          <w:t>Unported</w:t>
        </w:r>
      </w:hyperlink>
      <w:hyperlink r:id="rId15" w:history="1">
        <w:r w:rsidR="0034169D" w:rsidRPr="005816B9">
          <w:rPr>
            <w:rStyle w:val="Hyperlink"/>
            <w:sz w:val="20"/>
            <w:szCs w:val="20"/>
            <w:lang w:val="en-US"/>
          </w:rPr>
          <w:t xml:space="preserve"> License</w:t>
        </w:r>
      </w:hyperlink>
      <w:r w:rsidR="0034169D" w:rsidRPr="005816B9">
        <w:rPr>
          <w:sz w:val="20"/>
          <w:szCs w:val="20"/>
          <w:lang w:val="en-US"/>
        </w:rPr>
        <w:t>.</w:t>
      </w:r>
    </w:p>
    <w:p w:rsidR="0034169D" w:rsidRPr="00D66FAF" w:rsidRDefault="00D00DA5" w:rsidP="004D67C9">
      <w:pPr>
        <w:jc w:val="center"/>
        <w:rPr>
          <w:highlight w:val="yellow"/>
        </w:rPr>
      </w:pPr>
      <w:r>
        <w:rPr>
          <w:noProof/>
        </w:rPr>
        <w:drawing>
          <wp:inline distT="0" distB="0" distL="0" distR="0">
            <wp:extent cx="1495425" cy="523875"/>
            <wp:effectExtent l="0" t="0" r="9525" b="9525"/>
            <wp:docPr id="2" name="Picture 15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34169D" w:rsidRPr="005816B9" w:rsidRDefault="0034169D" w:rsidP="004D67C9">
      <w:pPr>
        <w:jc w:val="center"/>
        <w:rPr>
          <w:i/>
          <w:iCs/>
          <w:sz w:val="18"/>
          <w:szCs w:val="18"/>
          <w:lang w:val="en-US"/>
        </w:rPr>
      </w:pPr>
    </w:p>
    <w:p w:rsidR="0034169D" w:rsidRPr="005816B9" w:rsidRDefault="0034169D" w:rsidP="004D67C9">
      <w:pPr>
        <w:jc w:val="center"/>
        <w:rPr>
          <w:sz w:val="20"/>
          <w:szCs w:val="20"/>
          <w:lang w:val="en-US"/>
        </w:rPr>
      </w:pPr>
      <w:r w:rsidRPr="005816B9">
        <w:rPr>
          <w:i/>
          <w:iCs/>
          <w:sz w:val="20"/>
          <w:szCs w:val="20"/>
          <w:lang w:val="en-US"/>
        </w:rPr>
        <w:t>This project has been funded with support from the European Commission. This communication reflects the views only of the author(s), and the Commission cannot be held responsible for any use which may be made of the information contained therein.</w:t>
      </w:r>
    </w:p>
    <w:p w:rsidR="0034169D" w:rsidRDefault="00D00DA5" w:rsidP="004D67C9">
      <w:pPr>
        <w:rPr>
          <w:lang w:val="en-US"/>
        </w:rPr>
      </w:pPr>
      <w:r>
        <w:rPr>
          <w:noProof/>
        </w:rPr>
        <w:drawing>
          <wp:anchor distT="0" distB="0" distL="114300" distR="114300" simplePos="0" relativeHeight="251657728" behindDoc="1" locked="0" layoutInCell="1" allowOverlap="1">
            <wp:simplePos x="0" y="0"/>
            <wp:positionH relativeFrom="column">
              <wp:posOffset>1721485</wp:posOffset>
            </wp:positionH>
            <wp:positionV relativeFrom="paragraph">
              <wp:posOffset>62230</wp:posOffset>
            </wp:positionV>
            <wp:extent cx="2400300" cy="969645"/>
            <wp:effectExtent l="0" t="0" r="0" b="1905"/>
            <wp:wrapTight wrapText="bothSides">
              <wp:wrapPolygon edited="0">
                <wp:start x="0" y="0"/>
                <wp:lineTo x="0" y="21218"/>
                <wp:lineTo x="21429" y="21218"/>
                <wp:lineTo x="21429" y="0"/>
                <wp:lineTo x="0" y="0"/>
              </wp:wrapPolygon>
            </wp:wrapTight>
            <wp:docPr id="3" name="Picture 156" descr="LLP logo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LLP logo englis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0300" cy="969645"/>
                    </a:xfrm>
                    <a:prstGeom prst="rect">
                      <a:avLst/>
                    </a:prstGeom>
                    <a:noFill/>
                  </pic:spPr>
                </pic:pic>
              </a:graphicData>
            </a:graphic>
            <wp14:sizeRelH relativeFrom="page">
              <wp14:pctWidth>0</wp14:pctWidth>
            </wp14:sizeRelH>
            <wp14:sizeRelV relativeFrom="page">
              <wp14:pctHeight>0</wp14:pctHeight>
            </wp14:sizeRelV>
          </wp:anchor>
        </w:drawing>
      </w:r>
    </w:p>
    <w:p w:rsidR="0034169D" w:rsidRDefault="0034169D" w:rsidP="004D67C9">
      <w:pPr>
        <w:rPr>
          <w:lang w:val="en-US"/>
        </w:rPr>
      </w:pPr>
    </w:p>
    <w:p w:rsidR="0034169D" w:rsidRDefault="0034169D" w:rsidP="004D67C9">
      <w:pPr>
        <w:rPr>
          <w:lang w:val="en-US"/>
        </w:rPr>
      </w:pPr>
    </w:p>
    <w:p w:rsidR="0034169D" w:rsidRPr="00F11535" w:rsidRDefault="0034169D" w:rsidP="004D67C9">
      <w:pPr>
        <w:pStyle w:val="MainTitle"/>
        <w:rPr>
          <w:rFonts w:ascii="Calibri" w:hAnsi="Calibri" w:cs="Calibri"/>
          <w:b w:val="0"/>
          <w:color w:val="D9D9D9"/>
          <w:sz w:val="36"/>
          <w:lang w:val="en-US"/>
        </w:rPr>
      </w:pPr>
      <w:r>
        <w:rPr>
          <w:rFonts w:ascii="Calibri" w:hAnsi="Calibri" w:cs="Calibri"/>
          <w:b w:val="0"/>
          <w:color w:val="D9D9D9"/>
          <w:sz w:val="36"/>
          <w:lang w:val="en-US"/>
        </w:rPr>
        <w:br w:type="page"/>
      </w:r>
      <w:r w:rsidRPr="00F11535">
        <w:rPr>
          <w:rFonts w:ascii="Calibri" w:hAnsi="Calibri" w:cs="Calibri"/>
          <w:b w:val="0"/>
          <w:color w:val="D9D9D9"/>
          <w:sz w:val="36"/>
          <w:lang w:val="en-US"/>
        </w:rPr>
        <w:lastRenderedPageBreak/>
        <w:t>[</w:t>
      </w:r>
      <w:r>
        <w:rPr>
          <w:rFonts w:ascii="Calibri" w:hAnsi="Calibri" w:cs="Calibri"/>
          <w:b w:val="0"/>
          <w:color w:val="D9D9D9"/>
          <w:sz w:val="36"/>
          <w:lang w:val="en-US"/>
        </w:rPr>
        <w:t xml:space="preserve">page </w:t>
      </w:r>
      <w:r w:rsidRPr="00F11535">
        <w:rPr>
          <w:rFonts w:ascii="Calibri" w:hAnsi="Calibri" w:cs="Calibri"/>
          <w:b w:val="0"/>
          <w:color w:val="D9D9D9"/>
          <w:sz w:val="36"/>
          <w:lang w:val="en-US"/>
        </w:rPr>
        <w:t>left blank on purpose]</w:t>
      </w:r>
    </w:p>
    <w:p w:rsidR="0034169D" w:rsidRDefault="0034169D" w:rsidP="004D67C9">
      <w:pPr>
        <w:spacing w:before="0" w:after="0" w:line="240" w:lineRule="auto"/>
        <w:rPr>
          <w:rFonts w:ascii="Verdana" w:hAnsi="Verdana"/>
          <w:color w:val="000000"/>
          <w:sz w:val="52"/>
          <w:lang w:val="en-US"/>
        </w:rPr>
      </w:pPr>
    </w:p>
    <w:p w:rsidR="0034169D" w:rsidRDefault="0034169D" w:rsidP="004D67C9">
      <w:pPr>
        <w:spacing w:before="0" w:after="0" w:line="240" w:lineRule="auto"/>
        <w:rPr>
          <w:b/>
          <w:lang w:val="en-US"/>
        </w:rPr>
      </w:pPr>
      <w:r>
        <w:rPr>
          <w:rFonts w:ascii="Verdana" w:hAnsi="Verdana"/>
          <w:color w:val="000000"/>
          <w:sz w:val="52"/>
          <w:lang w:val="en-US"/>
        </w:rPr>
        <w:br w:type="page"/>
      </w:r>
    </w:p>
    <w:p w:rsidR="0034169D" w:rsidRPr="00661AF5" w:rsidRDefault="005F6401" w:rsidP="004D67C9">
      <w:pPr>
        <w:pStyle w:val="StyleTitleTOC"/>
        <w:rPr>
          <w:lang w:val="en-US"/>
        </w:rPr>
      </w:pPr>
      <w:r>
        <w:rPr>
          <w:lang w:val="en-US"/>
        </w:rPr>
        <w:lastRenderedPageBreak/>
        <w:t>Inhalt</w:t>
      </w:r>
    </w:p>
    <w:p w:rsidR="0034169D" w:rsidRPr="006E686D" w:rsidRDefault="0034169D" w:rsidP="004D67C9"/>
    <w:p w:rsidR="00E02A53" w:rsidRDefault="0034169D">
      <w:pPr>
        <w:pStyle w:val="TOC1"/>
        <w:tabs>
          <w:tab w:val="right" w:leader="dot" w:pos="9628"/>
        </w:tabs>
        <w:rPr>
          <w:rFonts w:asciiTheme="minorHAnsi" w:eastAsiaTheme="minorEastAsia" w:hAnsiTheme="minorHAnsi" w:cstheme="minorBidi"/>
          <w:b w:val="0"/>
          <w:bCs w:val="0"/>
          <w:noProof/>
          <w:color w:val="auto"/>
          <w:szCs w:val="22"/>
          <w:lang w:val="de-DE" w:eastAsia="de-DE"/>
        </w:rPr>
      </w:pPr>
      <w:r w:rsidRPr="006E686D">
        <w:rPr>
          <w:rFonts w:ascii="Verdana" w:hAnsi="Verdana"/>
          <w:color w:val="auto"/>
          <w:lang w:val="en-US"/>
        </w:rPr>
        <w:fldChar w:fldCharType="begin"/>
      </w:r>
      <w:r w:rsidRPr="006E686D">
        <w:rPr>
          <w:rFonts w:ascii="Verdana" w:hAnsi="Verdana"/>
          <w:color w:val="auto"/>
          <w:lang w:val="en-US"/>
        </w:rPr>
        <w:instrText xml:space="preserve"> TOC \o "1-3" \h \z \u </w:instrText>
      </w:r>
      <w:r w:rsidRPr="006E686D">
        <w:rPr>
          <w:rFonts w:ascii="Verdana" w:hAnsi="Verdana"/>
          <w:color w:val="auto"/>
          <w:lang w:val="en-US"/>
        </w:rPr>
        <w:fldChar w:fldCharType="separate"/>
      </w:r>
      <w:hyperlink w:anchor="_Toc357626639" w:history="1">
        <w:r w:rsidR="00E02A53" w:rsidRPr="00E64F92">
          <w:rPr>
            <w:rStyle w:val="Hyperlink"/>
            <w:noProof/>
            <w:lang w:val="en-GB"/>
          </w:rPr>
          <w:t>1. Einleitung</w:t>
        </w:r>
        <w:r w:rsidR="00E02A53">
          <w:rPr>
            <w:noProof/>
            <w:webHidden/>
          </w:rPr>
          <w:tab/>
        </w:r>
        <w:r w:rsidR="00E02A53">
          <w:rPr>
            <w:noProof/>
            <w:webHidden/>
          </w:rPr>
          <w:fldChar w:fldCharType="begin"/>
        </w:r>
        <w:r w:rsidR="00E02A53">
          <w:rPr>
            <w:noProof/>
            <w:webHidden/>
          </w:rPr>
          <w:instrText xml:space="preserve"> PAGEREF _Toc357626639 \h </w:instrText>
        </w:r>
        <w:r w:rsidR="00E02A53">
          <w:rPr>
            <w:noProof/>
            <w:webHidden/>
          </w:rPr>
        </w:r>
        <w:r w:rsidR="00E02A53">
          <w:rPr>
            <w:noProof/>
            <w:webHidden/>
          </w:rPr>
          <w:fldChar w:fldCharType="separate"/>
        </w:r>
        <w:r w:rsidR="00E02A53">
          <w:rPr>
            <w:noProof/>
            <w:webHidden/>
          </w:rPr>
          <w:t>6</w:t>
        </w:r>
        <w:r w:rsidR="00E02A53">
          <w:rPr>
            <w:noProof/>
            <w:webHidden/>
          </w:rPr>
          <w:fldChar w:fldCharType="end"/>
        </w:r>
      </w:hyperlink>
    </w:p>
    <w:p w:rsidR="00E02A53" w:rsidRDefault="00D27EF5">
      <w:pPr>
        <w:pStyle w:val="TOC1"/>
        <w:tabs>
          <w:tab w:val="right" w:leader="dot" w:pos="9628"/>
        </w:tabs>
        <w:rPr>
          <w:rFonts w:asciiTheme="minorHAnsi" w:eastAsiaTheme="minorEastAsia" w:hAnsiTheme="minorHAnsi" w:cstheme="minorBidi"/>
          <w:b w:val="0"/>
          <w:bCs w:val="0"/>
          <w:noProof/>
          <w:color w:val="auto"/>
          <w:szCs w:val="22"/>
          <w:lang w:val="de-DE" w:eastAsia="de-DE"/>
        </w:rPr>
      </w:pPr>
      <w:hyperlink w:anchor="_Toc357626640" w:history="1">
        <w:r w:rsidR="00E02A53" w:rsidRPr="00E64F92">
          <w:rPr>
            <w:rStyle w:val="Hyperlink"/>
            <w:noProof/>
          </w:rPr>
          <w:t>2. Der Schutz von Menschenrechten durch internationale Beobachtungsmechanismen</w:t>
        </w:r>
        <w:r w:rsidR="00E02A53">
          <w:rPr>
            <w:noProof/>
            <w:webHidden/>
          </w:rPr>
          <w:tab/>
        </w:r>
        <w:r w:rsidR="00E02A53">
          <w:rPr>
            <w:noProof/>
            <w:webHidden/>
          </w:rPr>
          <w:fldChar w:fldCharType="begin"/>
        </w:r>
        <w:r w:rsidR="00E02A53">
          <w:rPr>
            <w:noProof/>
            <w:webHidden/>
          </w:rPr>
          <w:instrText xml:space="preserve"> PAGEREF _Toc357626640 \h </w:instrText>
        </w:r>
        <w:r w:rsidR="00E02A53">
          <w:rPr>
            <w:noProof/>
            <w:webHidden/>
          </w:rPr>
        </w:r>
        <w:r w:rsidR="00E02A53">
          <w:rPr>
            <w:noProof/>
            <w:webHidden/>
          </w:rPr>
          <w:fldChar w:fldCharType="separate"/>
        </w:r>
        <w:r w:rsidR="00E02A53">
          <w:rPr>
            <w:noProof/>
            <w:webHidden/>
          </w:rPr>
          <w:t>6</w:t>
        </w:r>
        <w:r w:rsidR="00E02A53">
          <w:rPr>
            <w:noProof/>
            <w:webHidden/>
          </w:rPr>
          <w:fldChar w:fldCharType="end"/>
        </w:r>
      </w:hyperlink>
    </w:p>
    <w:p w:rsidR="00E02A53" w:rsidRDefault="00D27EF5">
      <w:pPr>
        <w:pStyle w:val="TOC1"/>
        <w:tabs>
          <w:tab w:val="right" w:leader="dot" w:pos="9628"/>
        </w:tabs>
        <w:rPr>
          <w:rFonts w:asciiTheme="minorHAnsi" w:eastAsiaTheme="minorEastAsia" w:hAnsiTheme="minorHAnsi" w:cstheme="minorBidi"/>
          <w:b w:val="0"/>
          <w:bCs w:val="0"/>
          <w:noProof/>
          <w:color w:val="auto"/>
          <w:szCs w:val="22"/>
          <w:lang w:val="de-DE" w:eastAsia="de-DE"/>
        </w:rPr>
      </w:pPr>
      <w:hyperlink w:anchor="_Toc357626641" w:history="1">
        <w:r w:rsidR="00E02A53" w:rsidRPr="00E64F92">
          <w:rPr>
            <w:rStyle w:val="Hyperlink"/>
            <w:noProof/>
          </w:rPr>
          <w:t>3. Kurze Übersicht über die internationalen Menschenrechtsmechanismen</w:t>
        </w:r>
        <w:r w:rsidR="00E02A53">
          <w:rPr>
            <w:noProof/>
            <w:webHidden/>
          </w:rPr>
          <w:tab/>
        </w:r>
        <w:r w:rsidR="00E02A53">
          <w:rPr>
            <w:noProof/>
            <w:webHidden/>
          </w:rPr>
          <w:fldChar w:fldCharType="begin"/>
        </w:r>
        <w:r w:rsidR="00E02A53">
          <w:rPr>
            <w:noProof/>
            <w:webHidden/>
          </w:rPr>
          <w:instrText xml:space="preserve"> PAGEREF _Toc357626641 \h </w:instrText>
        </w:r>
        <w:r w:rsidR="00E02A53">
          <w:rPr>
            <w:noProof/>
            <w:webHidden/>
          </w:rPr>
        </w:r>
        <w:r w:rsidR="00E02A53">
          <w:rPr>
            <w:noProof/>
            <w:webHidden/>
          </w:rPr>
          <w:fldChar w:fldCharType="separate"/>
        </w:r>
        <w:r w:rsidR="00E02A53">
          <w:rPr>
            <w:noProof/>
            <w:webHidden/>
          </w:rPr>
          <w:t>7</w:t>
        </w:r>
        <w:r w:rsidR="00E02A53">
          <w:rPr>
            <w:noProof/>
            <w:webHidden/>
          </w:rPr>
          <w:fldChar w:fldCharType="end"/>
        </w:r>
      </w:hyperlink>
    </w:p>
    <w:p w:rsidR="00E02A53" w:rsidRDefault="00D27EF5">
      <w:pPr>
        <w:pStyle w:val="TOC2"/>
        <w:tabs>
          <w:tab w:val="right" w:leader="dot" w:pos="9628"/>
        </w:tabs>
        <w:rPr>
          <w:rFonts w:asciiTheme="minorHAnsi" w:eastAsiaTheme="minorEastAsia" w:hAnsiTheme="minorHAnsi" w:cstheme="minorBidi"/>
          <w:noProof/>
          <w:szCs w:val="22"/>
          <w:lang w:val="de-DE" w:eastAsia="de-DE"/>
        </w:rPr>
      </w:pPr>
      <w:hyperlink w:anchor="_Toc357626642" w:history="1">
        <w:r w:rsidR="00E02A53" w:rsidRPr="00E64F92">
          <w:rPr>
            <w:rStyle w:val="Hyperlink"/>
            <w:noProof/>
            <w:lang w:val="en-US"/>
          </w:rPr>
          <w:t>3.1 Berichtsmechanismen</w:t>
        </w:r>
        <w:r w:rsidR="00E02A53">
          <w:rPr>
            <w:noProof/>
            <w:webHidden/>
          </w:rPr>
          <w:tab/>
        </w:r>
        <w:r w:rsidR="00E02A53">
          <w:rPr>
            <w:noProof/>
            <w:webHidden/>
          </w:rPr>
          <w:fldChar w:fldCharType="begin"/>
        </w:r>
        <w:r w:rsidR="00E02A53">
          <w:rPr>
            <w:noProof/>
            <w:webHidden/>
          </w:rPr>
          <w:instrText xml:space="preserve"> PAGEREF _Toc357626642 \h </w:instrText>
        </w:r>
        <w:r w:rsidR="00E02A53">
          <w:rPr>
            <w:noProof/>
            <w:webHidden/>
          </w:rPr>
        </w:r>
        <w:r w:rsidR="00E02A53">
          <w:rPr>
            <w:noProof/>
            <w:webHidden/>
          </w:rPr>
          <w:fldChar w:fldCharType="separate"/>
        </w:r>
        <w:r w:rsidR="00E02A53">
          <w:rPr>
            <w:noProof/>
            <w:webHidden/>
          </w:rPr>
          <w:t>7</w:t>
        </w:r>
        <w:r w:rsidR="00E02A53">
          <w:rPr>
            <w:noProof/>
            <w:webHidden/>
          </w:rPr>
          <w:fldChar w:fldCharType="end"/>
        </w:r>
      </w:hyperlink>
    </w:p>
    <w:p w:rsidR="00E02A53" w:rsidRDefault="00D27EF5">
      <w:pPr>
        <w:pStyle w:val="TOC2"/>
        <w:tabs>
          <w:tab w:val="right" w:leader="dot" w:pos="9628"/>
        </w:tabs>
        <w:rPr>
          <w:rFonts w:asciiTheme="minorHAnsi" w:eastAsiaTheme="minorEastAsia" w:hAnsiTheme="minorHAnsi" w:cstheme="minorBidi"/>
          <w:noProof/>
          <w:szCs w:val="22"/>
          <w:lang w:val="de-DE" w:eastAsia="de-DE"/>
        </w:rPr>
      </w:pPr>
      <w:hyperlink w:anchor="_Toc357626643" w:history="1">
        <w:r w:rsidR="00E02A53" w:rsidRPr="00E64F92">
          <w:rPr>
            <w:rStyle w:val="Hyperlink"/>
            <w:noProof/>
            <w:lang w:val="en-US"/>
          </w:rPr>
          <w:t>3.2 Beschwerdemechanismen</w:t>
        </w:r>
        <w:r w:rsidR="00E02A53">
          <w:rPr>
            <w:noProof/>
            <w:webHidden/>
          </w:rPr>
          <w:tab/>
        </w:r>
        <w:r w:rsidR="00E02A53">
          <w:rPr>
            <w:noProof/>
            <w:webHidden/>
          </w:rPr>
          <w:fldChar w:fldCharType="begin"/>
        </w:r>
        <w:r w:rsidR="00E02A53">
          <w:rPr>
            <w:noProof/>
            <w:webHidden/>
          </w:rPr>
          <w:instrText xml:space="preserve"> PAGEREF _Toc357626643 \h </w:instrText>
        </w:r>
        <w:r w:rsidR="00E02A53">
          <w:rPr>
            <w:noProof/>
            <w:webHidden/>
          </w:rPr>
        </w:r>
        <w:r w:rsidR="00E02A53">
          <w:rPr>
            <w:noProof/>
            <w:webHidden/>
          </w:rPr>
          <w:fldChar w:fldCharType="separate"/>
        </w:r>
        <w:r w:rsidR="00E02A53">
          <w:rPr>
            <w:noProof/>
            <w:webHidden/>
          </w:rPr>
          <w:t>8</w:t>
        </w:r>
        <w:r w:rsidR="00E02A53">
          <w:rPr>
            <w:noProof/>
            <w:webHidden/>
          </w:rPr>
          <w:fldChar w:fldCharType="end"/>
        </w:r>
      </w:hyperlink>
    </w:p>
    <w:p w:rsidR="00E02A53" w:rsidRDefault="00D27EF5">
      <w:pPr>
        <w:pStyle w:val="TOC2"/>
        <w:tabs>
          <w:tab w:val="right" w:leader="dot" w:pos="9628"/>
        </w:tabs>
        <w:rPr>
          <w:rFonts w:asciiTheme="minorHAnsi" w:eastAsiaTheme="minorEastAsia" w:hAnsiTheme="minorHAnsi" w:cstheme="minorBidi"/>
          <w:noProof/>
          <w:szCs w:val="22"/>
          <w:lang w:val="de-DE" w:eastAsia="de-DE"/>
        </w:rPr>
      </w:pPr>
      <w:hyperlink w:anchor="_Toc357626644" w:history="1">
        <w:r w:rsidR="00E02A53" w:rsidRPr="00E64F92">
          <w:rPr>
            <w:rStyle w:val="Hyperlink"/>
            <w:noProof/>
            <w:lang w:val="en-US"/>
          </w:rPr>
          <w:t>3.3 Untersuchungsmechanismen</w:t>
        </w:r>
        <w:r w:rsidR="00E02A53">
          <w:rPr>
            <w:noProof/>
            <w:webHidden/>
          </w:rPr>
          <w:tab/>
        </w:r>
        <w:r w:rsidR="00E02A53">
          <w:rPr>
            <w:noProof/>
            <w:webHidden/>
          </w:rPr>
          <w:fldChar w:fldCharType="begin"/>
        </w:r>
        <w:r w:rsidR="00E02A53">
          <w:rPr>
            <w:noProof/>
            <w:webHidden/>
          </w:rPr>
          <w:instrText xml:space="preserve"> PAGEREF _Toc357626644 \h </w:instrText>
        </w:r>
        <w:r w:rsidR="00E02A53">
          <w:rPr>
            <w:noProof/>
            <w:webHidden/>
          </w:rPr>
        </w:r>
        <w:r w:rsidR="00E02A53">
          <w:rPr>
            <w:noProof/>
            <w:webHidden/>
          </w:rPr>
          <w:fldChar w:fldCharType="separate"/>
        </w:r>
        <w:r w:rsidR="00E02A53">
          <w:rPr>
            <w:noProof/>
            <w:webHidden/>
          </w:rPr>
          <w:t>10</w:t>
        </w:r>
        <w:r w:rsidR="00E02A53">
          <w:rPr>
            <w:noProof/>
            <w:webHidden/>
          </w:rPr>
          <w:fldChar w:fldCharType="end"/>
        </w:r>
      </w:hyperlink>
    </w:p>
    <w:p w:rsidR="00E02A53" w:rsidRDefault="00D27EF5">
      <w:pPr>
        <w:pStyle w:val="TOC2"/>
        <w:tabs>
          <w:tab w:val="right" w:leader="dot" w:pos="9628"/>
        </w:tabs>
        <w:rPr>
          <w:rFonts w:asciiTheme="minorHAnsi" w:eastAsiaTheme="minorEastAsia" w:hAnsiTheme="minorHAnsi" w:cstheme="minorBidi"/>
          <w:noProof/>
          <w:szCs w:val="22"/>
          <w:lang w:val="de-DE" w:eastAsia="de-DE"/>
        </w:rPr>
      </w:pPr>
      <w:hyperlink w:anchor="_Toc357626645" w:history="1">
        <w:r w:rsidR="00E02A53" w:rsidRPr="00E64F92">
          <w:rPr>
            <w:rStyle w:val="Hyperlink"/>
            <w:noProof/>
            <w:lang w:val="en-US"/>
          </w:rPr>
          <w:t>3.4 Andere internationale Mechanismen</w:t>
        </w:r>
        <w:r w:rsidR="00E02A53">
          <w:rPr>
            <w:noProof/>
            <w:webHidden/>
          </w:rPr>
          <w:tab/>
        </w:r>
        <w:r w:rsidR="00E02A53">
          <w:rPr>
            <w:noProof/>
            <w:webHidden/>
          </w:rPr>
          <w:fldChar w:fldCharType="begin"/>
        </w:r>
        <w:r w:rsidR="00E02A53">
          <w:rPr>
            <w:noProof/>
            <w:webHidden/>
          </w:rPr>
          <w:instrText xml:space="preserve"> PAGEREF _Toc357626645 \h </w:instrText>
        </w:r>
        <w:r w:rsidR="00E02A53">
          <w:rPr>
            <w:noProof/>
            <w:webHidden/>
          </w:rPr>
        </w:r>
        <w:r w:rsidR="00E02A53">
          <w:rPr>
            <w:noProof/>
            <w:webHidden/>
          </w:rPr>
          <w:fldChar w:fldCharType="separate"/>
        </w:r>
        <w:r w:rsidR="00E02A53">
          <w:rPr>
            <w:noProof/>
            <w:webHidden/>
          </w:rPr>
          <w:t>11</w:t>
        </w:r>
        <w:r w:rsidR="00E02A53">
          <w:rPr>
            <w:noProof/>
            <w:webHidden/>
          </w:rPr>
          <w:fldChar w:fldCharType="end"/>
        </w:r>
      </w:hyperlink>
    </w:p>
    <w:p w:rsidR="0034169D" w:rsidRDefault="0034169D" w:rsidP="004D67C9">
      <w:pPr>
        <w:rPr>
          <w:lang w:val="en-US"/>
        </w:rPr>
      </w:pPr>
      <w:r w:rsidRPr="006E686D">
        <w:rPr>
          <w:rFonts w:ascii="Verdana" w:hAnsi="Verdana"/>
          <w:lang w:val="en-US"/>
        </w:rPr>
        <w:fldChar w:fldCharType="end"/>
      </w:r>
      <w:r w:rsidRPr="00CB3F05">
        <w:rPr>
          <w:lang w:val="en-US"/>
        </w:rPr>
        <w:br w:type="page"/>
      </w:r>
    </w:p>
    <w:tbl>
      <w:tblPr>
        <w:tblW w:w="9889" w:type="dxa"/>
        <w:tblBorders>
          <w:insideV w:val="single" w:sz="4" w:space="0" w:color="auto"/>
        </w:tblBorders>
        <w:tblLayout w:type="fixed"/>
        <w:tblLook w:val="00A0" w:firstRow="1" w:lastRow="0" w:firstColumn="1" w:lastColumn="0" w:noHBand="0" w:noVBand="0"/>
      </w:tblPr>
      <w:tblGrid>
        <w:gridCol w:w="7337"/>
        <w:gridCol w:w="2552"/>
      </w:tblGrid>
      <w:tr w:rsidR="0034169D" w:rsidRPr="004644C5" w:rsidTr="006B4B67">
        <w:tc>
          <w:tcPr>
            <w:tcW w:w="7337" w:type="dxa"/>
          </w:tcPr>
          <w:p w:rsidR="0034169D" w:rsidRPr="00AB763B" w:rsidRDefault="0034169D" w:rsidP="00190B32">
            <w:pPr>
              <w:pStyle w:val="Heading1"/>
            </w:pPr>
            <w:bookmarkStart w:id="1" w:name="_Toc357626639"/>
            <w:bookmarkStart w:id="2" w:name="_Toc316847625"/>
            <w:bookmarkStart w:id="3" w:name="_Toc317514568"/>
            <w:bookmarkStart w:id="4" w:name="_Toc317516108"/>
            <w:r w:rsidRPr="00AB763B">
              <w:lastRenderedPageBreak/>
              <w:t xml:space="preserve">1. </w:t>
            </w:r>
            <w:r w:rsidR="005F6401" w:rsidRPr="00AB763B">
              <w:t>Einleitung</w:t>
            </w:r>
            <w:bookmarkEnd w:id="1"/>
          </w:p>
          <w:p w:rsidR="0034169D" w:rsidRPr="00176BD1" w:rsidRDefault="00176BD1" w:rsidP="00EA4DEA">
            <w:pPr>
              <w:spacing w:line="276" w:lineRule="auto"/>
              <w:rPr>
                <w:lang w:val="de-DE" w:eastAsia="en-US"/>
              </w:rPr>
            </w:pPr>
            <w:r w:rsidRPr="00176BD1">
              <w:rPr>
                <w:lang w:val="de-DE" w:eastAsia="en-US"/>
              </w:rPr>
              <w:t xml:space="preserve">Ohne Zweifel sind die unterschiedlichen Menschenrechtsstrategien die Staaten einrichten ohne ein gutes </w:t>
            </w:r>
            <w:r>
              <w:rPr>
                <w:lang w:val="de-DE" w:eastAsia="en-US"/>
              </w:rPr>
              <w:t>Kontrollen und Monitoring System wertlos</w:t>
            </w:r>
            <w:r w:rsidRPr="00176BD1">
              <w:rPr>
                <w:lang w:val="de-DE" w:eastAsia="en-US"/>
              </w:rPr>
              <w:t xml:space="preserve">. Seit Ende des Zweiten Weltkriegs wurden eine Reihe von Mechanismen eingerichtet um Kontrollen zu gewährleisten und </w:t>
            </w:r>
            <w:r>
              <w:rPr>
                <w:lang w:val="de-DE" w:eastAsia="en-US"/>
              </w:rPr>
              <w:t xml:space="preserve">Eingreifen im Fall von Menschenrechtsverletzungen zu ermöglichen. </w:t>
            </w:r>
            <w:r w:rsidRPr="00176BD1">
              <w:rPr>
                <w:lang w:val="de-DE" w:eastAsia="en-US"/>
              </w:rPr>
              <w:t xml:space="preserve">Diese Einrichtungen handeln im Rahmensystem der Vereinten Nationen, sowie von regionalen Menschenrechtsorganisationen wie dem Europarat, </w:t>
            </w:r>
            <w:r>
              <w:rPr>
                <w:lang w:val="de-DE" w:eastAsia="en-US"/>
              </w:rPr>
              <w:t>der Organisation amerikanischer Staaten, der afrikanischen Union, usw</w:t>
            </w:r>
            <w:r w:rsidR="0034169D" w:rsidRPr="00176BD1">
              <w:rPr>
                <w:lang w:val="de-DE" w:eastAsia="en-US"/>
              </w:rPr>
              <w:t>.</w:t>
            </w:r>
          </w:p>
          <w:p w:rsidR="0034169D" w:rsidRPr="00AB763B" w:rsidRDefault="00176BD1" w:rsidP="00EA4DEA">
            <w:pPr>
              <w:spacing w:line="276" w:lineRule="auto"/>
              <w:rPr>
                <w:lang w:val="de-DE" w:eastAsia="en-US"/>
              </w:rPr>
            </w:pPr>
            <w:r>
              <w:rPr>
                <w:lang w:val="de-DE" w:eastAsia="en-US"/>
              </w:rPr>
              <w:t>D</w:t>
            </w:r>
            <w:r w:rsidRPr="00176BD1">
              <w:rPr>
                <w:lang w:val="de-DE" w:eastAsia="en-US"/>
              </w:rPr>
              <w:t xml:space="preserve">ieses kurze Kapitel gibt einen Überblick über einige Entwicklungen im internationalen Menschenrechts </w:t>
            </w:r>
            <w:r>
              <w:rPr>
                <w:lang w:val="de-DE" w:eastAsia="en-US"/>
              </w:rPr>
              <w:t>M</w:t>
            </w:r>
            <w:r w:rsidR="0034169D" w:rsidRPr="00176BD1">
              <w:rPr>
                <w:lang w:val="de-DE" w:eastAsia="en-US"/>
              </w:rPr>
              <w:t xml:space="preserve">onitoring </w:t>
            </w:r>
            <w:r>
              <w:rPr>
                <w:lang w:val="de-DE" w:eastAsia="en-US"/>
              </w:rPr>
              <w:t xml:space="preserve">und über die internationalen Abläufe im Rahmen dieser Prozesse. </w:t>
            </w:r>
            <w:r w:rsidRPr="00176BD1">
              <w:rPr>
                <w:lang w:val="de-DE" w:eastAsia="en-US"/>
              </w:rPr>
              <w:t xml:space="preserve">Vor diesen doppelten Hintergrund kann man das Beobachtungssystem für Folter und Misshandlung </w:t>
            </w:r>
            <w:r>
              <w:rPr>
                <w:lang w:val="de-DE" w:eastAsia="en-US"/>
              </w:rPr>
              <w:t xml:space="preserve">besser verstehen </w:t>
            </w:r>
          </w:p>
          <w:p w:rsidR="0034169D" w:rsidRPr="00176BD1" w:rsidRDefault="0034169D" w:rsidP="00176BD1">
            <w:pPr>
              <w:pStyle w:val="Heading1"/>
            </w:pPr>
            <w:bookmarkStart w:id="5" w:name="_Toc357626640"/>
            <w:r w:rsidRPr="00176BD1">
              <w:t xml:space="preserve">2. </w:t>
            </w:r>
            <w:bookmarkEnd w:id="2"/>
            <w:bookmarkEnd w:id="3"/>
            <w:bookmarkEnd w:id="4"/>
            <w:r w:rsidR="00176BD1">
              <w:t>D</w:t>
            </w:r>
            <w:r w:rsidR="00176BD1" w:rsidRPr="00176BD1">
              <w:t>er Schutz von Menschenrechten durch</w:t>
            </w:r>
            <w:r w:rsidR="00176BD1">
              <w:t xml:space="preserve"> internationale Beobachtungsmechanismen</w:t>
            </w:r>
            <w:bookmarkEnd w:id="5"/>
          </w:p>
        </w:tc>
        <w:tc>
          <w:tcPr>
            <w:tcW w:w="2552" w:type="dxa"/>
          </w:tcPr>
          <w:p w:rsidR="0034169D" w:rsidRPr="00176BD1" w:rsidRDefault="0034169D" w:rsidP="00F1047C">
            <w:pPr>
              <w:pStyle w:val="ListParagraph"/>
              <w:spacing w:after="0" w:line="240" w:lineRule="auto"/>
              <w:ind w:left="313"/>
              <w:rPr>
                <w:rFonts w:cs="Calibri"/>
                <w:b/>
                <w:bCs/>
                <w:i/>
                <w:sz w:val="20"/>
                <w:szCs w:val="20"/>
              </w:rPr>
            </w:pPr>
          </w:p>
        </w:tc>
      </w:tr>
      <w:tr w:rsidR="0034169D" w:rsidRPr="004644C5" w:rsidTr="006B4B67">
        <w:tc>
          <w:tcPr>
            <w:tcW w:w="7337" w:type="dxa"/>
          </w:tcPr>
          <w:p w:rsidR="0034169D" w:rsidRPr="00176BD1" w:rsidRDefault="00176BD1" w:rsidP="00F1047C">
            <w:pPr>
              <w:pStyle w:val="BodyText"/>
            </w:pPr>
            <w:r w:rsidRPr="00176BD1">
              <w:t>Im</w:t>
            </w:r>
            <w:r w:rsidRPr="00176BD1">
              <w:rPr>
                <w:lang w:val="el-GR"/>
              </w:rPr>
              <w:t xml:space="preserve"> </w:t>
            </w:r>
            <w:r w:rsidRPr="00176BD1">
              <w:t>Verlauf</w:t>
            </w:r>
            <w:r w:rsidRPr="00176BD1">
              <w:rPr>
                <w:lang w:val="el-GR"/>
              </w:rPr>
              <w:t xml:space="preserve"> </w:t>
            </w:r>
            <w:r w:rsidRPr="00176BD1">
              <w:t>der</w:t>
            </w:r>
            <w:r w:rsidRPr="00176BD1">
              <w:rPr>
                <w:lang w:val="el-GR"/>
              </w:rPr>
              <w:t xml:space="preserve"> </w:t>
            </w:r>
            <w:r w:rsidRPr="00176BD1">
              <w:t>letzten</w:t>
            </w:r>
            <w:r w:rsidRPr="00176BD1">
              <w:rPr>
                <w:lang w:val="el-GR"/>
              </w:rPr>
              <w:t xml:space="preserve"> 65 </w:t>
            </w:r>
            <w:r w:rsidRPr="00176BD1">
              <w:t>Jahre</w:t>
            </w:r>
            <w:r w:rsidRPr="00176BD1">
              <w:rPr>
                <w:lang w:val="el-GR"/>
              </w:rPr>
              <w:t xml:space="preserve"> </w:t>
            </w:r>
            <w:r w:rsidRPr="00176BD1">
              <w:t>wurden</w:t>
            </w:r>
            <w:r w:rsidRPr="00176BD1">
              <w:rPr>
                <w:lang w:val="el-GR"/>
              </w:rPr>
              <w:t xml:space="preserve"> </w:t>
            </w:r>
            <w:r w:rsidRPr="00176BD1">
              <w:t>eine</w:t>
            </w:r>
            <w:r w:rsidRPr="00176BD1">
              <w:rPr>
                <w:lang w:val="el-GR"/>
              </w:rPr>
              <w:t xml:space="preserve"> </w:t>
            </w:r>
            <w:r w:rsidRPr="00176BD1">
              <w:t>eindrucksvolle</w:t>
            </w:r>
            <w:r w:rsidRPr="00176BD1">
              <w:rPr>
                <w:lang w:val="el-GR"/>
              </w:rPr>
              <w:t xml:space="preserve"> </w:t>
            </w:r>
            <w:r w:rsidRPr="00176BD1">
              <w:t>Anzahl</w:t>
            </w:r>
            <w:r w:rsidRPr="00176BD1">
              <w:rPr>
                <w:lang w:val="el-GR"/>
              </w:rPr>
              <w:t xml:space="preserve"> </w:t>
            </w:r>
            <w:r w:rsidRPr="00176BD1">
              <w:t>an</w:t>
            </w:r>
            <w:r w:rsidRPr="00176BD1">
              <w:rPr>
                <w:lang w:val="el-GR"/>
              </w:rPr>
              <w:t xml:space="preserve"> </w:t>
            </w:r>
            <w:r w:rsidRPr="00176BD1">
              <w:t>internationalen</w:t>
            </w:r>
            <w:r w:rsidRPr="00176BD1">
              <w:rPr>
                <w:lang w:val="el-GR"/>
              </w:rPr>
              <w:t xml:space="preserve"> </w:t>
            </w:r>
            <w:r w:rsidRPr="00176BD1">
              <w:t>Mechanismen</w:t>
            </w:r>
            <w:r w:rsidRPr="00176BD1">
              <w:rPr>
                <w:lang w:val="el-GR"/>
              </w:rPr>
              <w:t xml:space="preserve"> </w:t>
            </w:r>
            <w:r w:rsidRPr="00176BD1">
              <w:t>eingerichtet</w:t>
            </w:r>
            <w:r w:rsidRPr="00176BD1">
              <w:rPr>
                <w:lang w:val="el-GR"/>
              </w:rPr>
              <w:t xml:space="preserve"> </w:t>
            </w:r>
            <w:r w:rsidRPr="00176BD1">
              <w:t>um</w:t>
            </w:r>
            <w:r w:rsidRPr="00176BD1">
              <w:rPr>
                <w:lang w:val="el-GR"/>
              </w:rPr>
              <w:t xml:space="preserve"> </w:t>
            </w:r>
            <w:r w:rsidRPr="00176BD1">
              <w:t>die</w:t>
            </w:r>
            <w:r w:rsidRPr="00176BD1">
              <w:rPr>
                <w:lang w:val="el-GR"/>
              </w:rPr>
              <w:t xml:space="preserve"> </w:t>
            </w:r>
            <w:r w:rsidRPr="00176BD1">
              <w:t>Verpflichtungen</w:t>
            </w:r>
            <w:r w:rsidRPr="00176BD1">
              <w:rPr>
                <w:lang w:val="el-GR"/>
              </w:rPr>
              <w:t xml:space="preserve"> </w:t>
            </w:r>
            <w:r w:rsidRPr="00176BD1">
              <w:t>der</w:t>
            </w:r>
            <w:r w:rsidRPr="00176BD1">
              <w:rPr>
                <w:lang w:val="el-GR"/>
              </w:rPr>
              <w:t xml:space="preserve"> </w:t>
            </w:r>
            <w:r w:rsidRPr="00176BD1">
              <w:t>Staaten</w:t>
            </w:r>
            <w:r w:rsidRPr="00176BD1">
              <w:rPr>
                <w:lang w:val="el-GR"/>
              </w:rPr>
              <w:t xml:space="preserve"> </w:t>
            </w:r>
            <w:r>
              <w:rPr>
                <w:lang w:val="el-GR"/>
              </w:rPr>
              <w:t>gegenüber den Menschenrechtsvorgaben zu kontrollieren</w:t>
            </w:r>
            <w:r w:rsidR="0034169D" w:rsidRPr="00176BD1">
              <w:rPr>
                <w:lang w:val="el-GR"/>
              </w:rPr>
              <w:t xml:space="preserve">. </w:t>
            </w:r>
            <w:r>
              <w:rPr>
                <w:lang w:val="el-GR"/>
              </w:rPr>
              <w:t xml:space="preserve">Das trifft vor allem in Bezug auf die Vereinten Nationen zu, aber auch in Bezug auf die regionalen Menschenrechts Schutzorganisationen wie dem Europarat, der Organisation amerikanischer Staaten, der afrikanischen Union usw. </w:t>
            </w:r>
            <w:r w:rsidR="00B37ECF">
              <w:rPr>
                <w:lang w:val="el-GR"/>
              </w:rPr>
              <w:t>Diese Entwicklung war jedoch bei weitem nicht automatisch oder einfach und reflektiert Aspekte der unsystematischen Weise in der sie implementiert wurde</w:t>
            </w:r>
            <w:r w:rsidR="0034169D" w:rsidRPr="00176BD1">
              <w:t>.</w:t>
            </w:r>
          </w:p>
          <w:p w:rsidR="0034169D" w:rsidRPr="00B37ECF" w:rsidRDefault="0034169D" w:rsidP="00B37ECF">
            <w:pPr>
              <w:pStyle w:val="BodyText"/>
            </w:pPr>
            <w:r w:rsidRPr="00B37ECF">
              <w:t xml:space="preserve">Antonio Cançado Trindade, </w:t>
            </w:r>
            <w:r w:rsidR="00B37ECF" w:rsidRPr="00B37ECF">
              <w:t xml:space="preserve">ein ehemaliger Präsident des </w:t>
            </w:r>
            <w:r w:rsidRPr="00B37ECF">
              <w:t xml:space="preserve"> Inter-American Court of Human Rights </w:t>
            </w:r>
            <w:r w:rsidR="00B37ECF" w:rsidRPr="00B37ECF">
              <w:t>und derzeitige Richter im Internationalen Gerichtshof in Den Haag argumentierte bereits 1987 das die Entwicklung der internationalen Kontrollmechanismen mit einigen wichtigen Entwicklungen</w:t>
            </w:r>
            <w:r w:rsidR="00B37ECF">
              <w:t xml:space="preserve"> der Theorie des internationalen Rechts einherging</w:t>
            </w:r>
            <w:r w:rsidRPr="00B37ECF">
              <w:t>.</w:t>
            </w:r>
            <w:r>
              <w:rPr>
                <w:rStyle w:val="FootnoteReference"/>
                <w:lang w:val="en-GB"/>
              </w:rPr>
              <w:footnoteReference w:id="1"/>
            </w:r>
            <w:r w:rsidRPr="00B37ECF">
              <w:t xml:space="preserve"> </w:t>
            </w:r>
            <w:r w:rsidR="00B37ECF" w:rsidRPr="00B37ECF">
              <w:t xml:space="preserve">so musste beispielsweise die traditionelle Doktrin der nationalen Jurisdiktion vonstatten in den Jahren 1950-1960 abgegrenzt werden um eine externe Kontrolle durch mehrere Kommissionen und Komitees zu realisieren, wobei </w:t>
            </w:r>
            <w:r w:rsidR="00B37ECF">
              <w:t>mehrere Faktoren zur Aufweichung dieser Doktrin beitrugen</w:t>
            </w:r>
            <w:r w:rsidRPr="00B37ECF">
              <w:t xml:space="preserve">. </w:t>
            </w:r>
            <w:r w:rsidR="00B37ECF" w:rsidRPr="00B37ECF">
              <w:t xml:space="preserve">Zuerst, auch einer britischen Ebene, erwiesen sich als wichtig das Staaten die internationalen Mechanismen als ergänzend zu nationalen Mechanismen definierten, </w:t>
            </w:r>
            <w:r w:rsidR="00B37ECF">
              <w:t xml:space="preserve">was natürlich implizierte, dass das Primat der Supervision auf nationaler Ebene verblieb, zweitens wurden verschiedene juristische Techniken entwickelt um Staaten eine gewissen Spielraum zu geben </w:t>
            </w:r>
            <w:r w:rsidR="00B37ECF">
              <w:lastRenderedPageBreak/>
              <w:t xml:space="preserve">bevor sie sich den internationalen Kontrollen, die Beschwerdemechanismen, Klauseln usw. unterwerfen mussten . </w:t>
            </w:r>
            <w:r w:rsidR="00B37ECF" w:rsidRPr="00B37ECF">
              <w:t>Die Verringerung der Bedeutung dieser Staatsdoktrin gehen Hand in Hand mit zwei ähnlichen Entwicklungen im internationalen Recht, nämlich der zunehmenden Möglichkeit für Einzelpersonen an internationalen Beobachtung</w:t>
            </w:r>
            <w:r w:rsidR="00B37ECF">
              <w:t>smechanismen teilzunehmen und der zunehmenden Selbstsicherheit internationaler Institutionen um selber im Bereich der Menschenrechte aktiv zu werden.  Viele dieser Entwicklungen wurden durch zwei wesentliche politische Entwicklungen gefördert,-zuerst führte die Zeit der Dekolonisation in den sechziger Jahren dazu das unabhängige Länder ihre nationale Souveränität absicherten, zu der auch die Menschenrechtsangelegenheiten gehörten, und zweitens das Ende des kalten Krieges und der Fall der Berliner Mauer 1989, die einen neuen Raum für die gegenseitige Zusammenarbeit und Kontrolle im Bereich der Menschenrechte eröffneten.</w:t>
            </w:r>
          </w:p>
        </w:tc>
        <w:tc>
          <w:tcPr>
            <w:tcW w:w="2552" w:type="dxa"/>
          </w:tcPr>
          <w:p w:rsidR="0034169D" w:rsidRPr="00B37ECF" w:rsidRDefault="0034169D" w:rsidP="006B4B67">
            <w:pPr>
              <w:pStyle w:val="ListParagraph"/>
              <w:spacing w:after="0" w:line="240" w:lineRule="auto"/>
              <w:ind w:left="318"/>
              <w:rPr>
                <w:rFonts w:cs="Calibri"/>
                <w:b/>
                <w:i/>
                <w:sz w:val="20"/>
                <w:szCs w:val="20"/>
              </w:rPr>
            </w:pPr>
          </w:p>
          <w:p w:rsidR="0034169D" w:rsidRPr="00B37ECF" w:rsidRDefault="0034169D" w:rsidP="006B4B67">
            <w:pPr>
              <w:pStyle w:val="ListParagraph"/>
              <w:spacing w:after="0" w:line="240" w:lineRule="auto"/>
              <w:ind w:left="318"/>
              <w:rPr>
                <w:rFonts w:cs="Calibri"/>
                <w:b/>
                <w:i/>
                <w:sz w:val="20"/>
                <w:szCs w:val="20"/>
              </w:rPr>
            </w:pPr>
          </w:p>
        </w:tc>
      </w:tr>
      <w:tr w:rsidR="0034169D" w:rsidRPr="004644C5" w:rsidTr="006B4B67">
        <w:tc>
          <w:tcPr>
            <w:tcW w:w="7337" w:type="dxa"/>
          </w:tcPr>
          <w:p w:rsidR="0034169D" w:rsidRPr="00B37ECF" w:rsidRDefault="00B37ECF" w:rsidP="00B37ECF">
            <w:pPr>
              <w:pStyle w:val="BodyText"/>
              <w:rPr>
                <w:lang w:val="el-GR"/>
              </w:rPr>
            </w:pPr>
            <w:r>
              <w:rPr>
                <w:lang w:val="el-GR"/>
              </w:rPr>
              <w:lastRenderedPageBreak/>
              <w:t>Es ist daher klar, dass das heutige System der Beobachtungsmechanismen der internationalen Menschenrechte das Ergebnis sowohl theoretischer wie auch politische Entwicklungen sind, die die dauernde Spannung zwischen nationalen und transnationalen Interessen widerspiegelt</w:t>
            </w:r>
            <w:r w:rsidR="0034169D" w:rsidRPr="00B37ECF">
              <w:rPr>
                <w:lang w:val="el-GR"/>
              </w:rPr>
              <w:t>.</w:t>
            </w:r>
          </w:p>
        </w:tc>
        <w:tc>
          <w:tcPr>
            <w:tcW w:w="2552" w:type="dxa"/>
          </w:tcPr>
          <w:p w:rsidR="0034169D" w:rsidRPr="00B37ECF" w:rsidRDefault="0034169D" w:rsidP="006B4B67">
            <w:pPr>
              <w:pStyle w:val="ListParagraph"/>
              <w:spacing w:after="0" w:line="240" w:lineRule="auto"/>
              <w:ind w:left="313"/>
              <w:rPr>
                <w:rFonts w:cs="Calibri"/>
                <w:i/>
                <w:sz w:val="20"/>
                <w:szCs w:val="20"/>
                <w:lang w:val="el-GR"/>
              </w:rPr>
            </w:pPr>
          </w:p>
        </w:tc>
      </w:tr>
      <w:tr w:rsidR="0034169D" w:rsidRPr="004644C5" w:rsidTr="006B4B67">
        <w:tc>
          <w:tcPr>
            <w:tcW w:w="7337" w:type="dxa"/>
          </w:tcPr>
          <w:p w:rsidR="0034169D" w:rsidRPr="00CC5ED4" w:rsidRDefault="0034169D" w:rsidP="0086722B">
            <w:pPr>
              <w:pStyle w:val="Heading1"/>
            </w:pPr>
            <w:bookmarkStart w:id="6" w:name="_Toc357626641"/>
            <w:r w:rsidRPr="00CC5ED4">
              <w:t xml:space="preserve">3. </w:t>
            </w:r>
            <w:r w:rsidR="0086722B">
              <w:t xml:space="preserve">Kurze </w:t>
            </w:r>
            <w:r w:rsidR="00CC5ED4" w:rsidRPr="00CC5ED4">
              <w:t>Übersicht über die internationalen Menschenrechtsmechanismen</w:t>
            </w:r>
            <w:bookmarkEnd w:id="6"/>
            <w:r w:rsidR="00CC5ED4" w:rsidRPr="00CC5ED4">
              <w:t xml:space="preserve"> </w:t>
            </w:r>
          </w:p>
        </w:tc>
        <w:tc>
          <w:tcPr>
            <w:tcW w:w="2552" w:type="dxa"/>
          </w:tcPr>
          <w:p w:rsidR="0034169D" w:rsidRPr="00CC5ED4" w:rsidRDefault="0034169D" w:rsidP="006B4B67">
            <w:pPr>
              <w:pStyle w:val="ListParagraph"/>
              <w:spacing w:after="0" w:line="240" w:lineRule="auto"/>
              <w:ind w:left="313"/>
              <w:rPr>
                <w:rFonts w:cs="Calibri"/>
                <w:i/>
                <w:sz w:val="20"/>
                <w:szCs w:val="20"/>
              </w:rPr>
            </w:pPr>
          </w:p>
        </w:tc>
      </w:tr>
      <w:tr w:rsidR="0034169D" w:rsidRPr="004644C5" w:rsidTr="006B4B67">
        <w:tc>
          <w:tcPr>
            <w:tcW w:w="7337" w:type="dxa"/>
          </w:tcPr>
          <w:p w:rsidR="0034169D" w:rsidRPr="00CC5ED4" w:rsidRDefault="00CC5ED4" w:rsidP="00F1047C">
            <w:pPr>
              <w:spacing w:line="276" w:lineRule="auto"/>
              <w:rPr>
                <w:lang w:val="de-DE" w:eastAsia="en-US"/>
              </w:rPr>
            </w:pPr>
            <w:r w:rsidRPr="00CC5ED4">
              <w:rPr>
                <w:szCs w:val="22"/>
                <w:lang w:val="de-DE" w:eastAsia="en-US"/>
              </w:rPr>
              <w:t xml:space="preserve">In Anbetracht der Organisationsstruktur der Vereinten Nationen oder regionaler Menschenrechtsorganisationen bleibt oft das Gefühl der Überraschung oder Verwirrung zurück. Die Organisationsstrukturen wirken wie ein Labyrinth von Institutionen und Mechanismen, und nicht wie ein Tanzbein des Gebäude. Die Folgendenabschnitte geben einen raschen Überblick über die drei wichtigsten Typen internationaler Mechanismen für Menschenrechts </w:t>
            </w:r>
            <w:r>
              <w:rPr>
                <w:szCs w:val="22"/>
                <w:lang w:val="de-DE" w:eastAsia="en-US"/>
              </w:rPr>
              <w:t>Beobachtung.</w:t>
            </w:r>
          </w:p>
          <w:p w:rsidR="0034169D" w:rsidRPr="00CC5ED4" w:rsidRDefault="00CC5ED4" w:rsidP="00CC5ED4">
            <w:pPr>
              <w:spacing w:line="276" w:lineRule="auto"/>
              <w:rPr>
                <w:lang w:val="de-DE" w:eastAsia="en-US"/>
              </w:rPr>
            </w:pPr>
            <w:r w:rsidRPr="00CC5ED4">
              <w:rPr>
                <w:szCs w:val="22"/>
                <w:lang w:val="de-DE" w:eastAsia="en-US"/>
              </w:rPr>
              <w:t xml:space="preserve">Die sie soll eine Leitlinie </w:t>
            </w:r>
            <w:r>
              <w:rPr>
                <w:szCs w:val="22"/>
                <w:lang w:val="de-DE" w:eastAsia="en-US"/>
              </w:rPr>
              <w:t>für alle sein, die sich am internationalen Kampf gegen Folter beteiligen oder das Istanbul Protokoll vor diesem Hintergrund anwenden wollen.</w:t>
            </w:r>
          </w:p>
        </w:tc>
        <w:tc>
          <w:tcPr>
            <w:tcW w:w="2552" w:type="dxa"/>
          </w:tcPr>
          <w:p w:rsidR="0034169D" w:rsidRPr="00CC5ED4" w:rsidRDefault="0034169D" w:rsidP="006B4B67">
            <w:pPr>
              <w:pStyle w:val="ListParagraph"/>
              <w:spacing w:after="0" w:line="240" w:lineRule="auto"/>
              <w:ind w:left="313"/>
              <w:rPr>
                <w:rFonts w:cs="Calibri"/>
                <w:i/>
                <w:sz w:val="20"/>
                <w:szCs w:val="20"/>
              </w:rPr>
            </w:pPr>
          </w:p>
        </w:tc>
      </w:tr>
      <w:tr w:rsidR="0034169D" w:rsidRPr="002A3956" w:rsidTr="006B4B67">
        <w:tc>
          <w:tcPr>
            <w:tcW w:w="7337" w:type="dxa"/>
          </w:tcPr>
          <w:p w:rsidR="0034169D" w:rsidRPr="00C702EA" w:rsidRDefault="0034169D" w:rsidP="00CC5ED4">
            <w:pPr>
              <w:pStyle w:val="Heading2"/>
              <w:rPr>
                <w:lang w:val="en-US"/>
              </w:rPr>
            </w:pPr>
            <w:bookmarkStart w:id="7" w:name="_Toc357626642"/>
            <w:r w:rsidRPr="00C702EA">
              <w:rPr>
                <w:lang w:val="en-US"/>
              </w:rPr>
              <w:t xml:space="preserve">3.1 </w:t>
            </w:r>
            <w:r w:rsidR="00CC5ED4">
              <w:rPr>
                <w:lang w:val="en-US"/>
              </w:rPr>
              <w:t>Berichtsmechanismen</w:t>
            </w:r>
            <w:bookmarkEnd w:id="7"/>
          </w:p>
        </w:tc>
        <w:tc>
          <w:tcPr>
            <w:tcW w:w="2552" w:type="dxa"/>
          </w:tcPr>
          <w:p w:rsidR="0034169D" w:rsidRPr="004D67C9" w:rsidRDefault="0034169D" w:rsidP="00F1047C">
            <w:pPr>
              <w:pStyle w:val="ListParagraph"/>
              <w:spacing w:after="0" w:line="240" w:lineRule="auto"/>
              <w:ind w:left="313"/>
              <w:rPr>
                <w:rFonts w:cs="Calibri"/>
                <w:i/>
                <w:sz w:val="20"/>
                <w:szCs w:val="20"/>
                <w:lang w:val="en-US"/>
              </w:rPr>
            </w:pPr>
          </w:p>
        </w:tc>
      </w:tr>
      <w:tr w:rsidR="0034169D" w:rsidRPr="004644C5" w:rsidTr="006B4B67">
        <w:tc>
          <w:tcPr>
            <w:tcW w:w="7337" w:type="dxa"/>
          </w:tcPr>
          <w:p w:rsidR="0034169D" w:rsidRPr="00CC5ED4" w:rsidRDefault="00CC5ED4" w:rsidP="00CC5ED4">
            <w:pPr>
              <w:pStyle w:val="BodyText"/>
              <w:rPr>
                <w:lang w:val="el-GR"/>
              </w:rPr>
            </w:pPr>
            <w:r w:rsidRPr="00CC5ED4">
              <w:t>Die</w:t>
            </w:r>
            <w:r w:rsidRPr="00CC5ED4">
              <w:rPr>
                <w:lang w:val="el-GR"/>
              </w:rPr>
              <w:t xml:space="preserve"> </w:t>
            </w:r>
            <w:r w:rsidRPr="00CC5ED4">
              <w:t>rechtliche</w:t>
            </w:r>
            <w:r w:rsidRPr="00CC5ED4">
              <w:rPr>
                <w:lang w:val="el-GR"/>
              </w:rPr>
              <w:t xml:space="preserve"> </w:t>
            </w:r>
            <w:r w:rsidRPr="00CC5ED4">
              <w:t>Basis</w:t>
            </w:r>
            <w:r w:rsidRPr="00CC5ED4">
              <w:rPr>
                <w:lang w:val="el-GR"/>
              </w:rPr>
              <w:t xml:space="preserve"> </w:t>
            </w:r>
            <w:r w:rsidRPr="00CC5ED4">
              <w:t>dieser</w:t>
            </w:r>
            <w:r w:rsidRPr="00CC5ED4">
              <w:rPr>
                <w:lang w:val="el-GR"/>
              </w:rPr>
              <w:t xml:space="preserve"> </w:t>
            </w:r>
            <w:r w:rsidRPr="00CC5ED4">
              <w:t>Berichtmechanismen</w:t>
            </w:r>
            <w:r w:rsidRPr="00CC5ED4">
              <w:rPr>
                <w:lang w:val="el-GR"/>
              </w:rPr>
              <w:t xml:space="preserve"> </w:t>
            </w:r>
            <w:r w:rsidRPr="00CC5ED4">
              <w:t>ist</w:t>
            </w:r>
            <w:r w:rsidRPr="00CC5ED4">
              <w:rPr>
                <w:lang w:val="el-GR"/>
              </w:rPr>
              <w:t xml:space="preserve"> </w:t>
            </w:r>
            <w:r w:rsidRPr="00CC5ED4">
              <w:t>in</w:t>
            </w:r>
            <w:r w:rsidRPr="00CC5ED4">
              <w:rPr>
                <w:lang w:val="el-GR"/>
              </w:rPr>
              <w:t xml:space="preserve"> </w:t>
            </w:r>
            <w:r w:rsidRPr="00CC5ED4">
              <w:t>einer</w:t>
            </w:r>
            <w:r w:rsidRPr="00CC5ED4">
              <w:rPr>
                <w:lang w:val="el-GR"/>
              </w:rPr>
              <w:t xml:space="preserve"> </w:t>
            </w:r>
            <w:r w:rsidRPr="00CC5ED4">
              <w:t>Reihe</w:t>
            </w:r>
            <w:r w:rsidRPr="00CC5ED4">
              <w:rPr>
                <w:lang w:val="el-GR"/>
              </w:rPr>
              <w:t xml:space="preserve"> </w:t>
            </w:r>
            <w:r w:rsidRPr="00CC5ED4">
              <w:t>von</w:t>
            </w:r>
            <w:r w:rsidRPr="00CC5ED4">
              <w:rPr>
                <w:lang w:val="el-GR"/>
              </w:rPr>
              <w:t xml:space="preserve"> </w:t>
            </w:r>
            <w:r w:rsidRPr="00CC5ED4">
              <w:t>wichtigen</w:t>
            </w:r>
            <w:r w:rsidRPr="00CC5ED4">
              <w:rPr>
                <w:lang w:val="el-GR"/>
              </w:rPr>
              <w:t xml:space="preserve"> </w:t>
            </w:r>
            <w:r w:rsidRPr="00CC5ED4">
              <w:t>Menschenrechtskonventionen</w:t>
            </w:r>
            <w:r w:rsidRPr="00CC5ED4">
              <w:rPr>
                <w:lang w:val="el-GR"/>
              </w:rPr>
              <w:t xml:space="preserve"> </w:t>
            </w:r>
            <w:r w:rsidRPr="00CC5ED4">
              <w:t>im</w:t>
            </w:r>
            <w:r w:rsidRPr="00CC5ED4">
              <w:rPr>
                <w:lang w:val="el-GR"/>
              </w:rPr>
              <w:t xml:space="preserve"> </w:t>
            </w:r>
            <w:r w:rsidRPr="00CC5ED4">
              <w:t>System</w:t>
            </w:r>
            <w:r w:rsidRPr="00CC5ED4">
              <w:rPr>
                <w:lang w:val="el-GR"/>
              </w:rPr>
              <w:t xml:space="preserve"> </w:t>
            </w:r>
            <w:r w:rsidRPr="00CC5ED4">
              <w:t>der</w:t>
            </w:r>
            <w:r w:rsidRPr="00CC5ED4">
              <w:rPr>
                <w:lang w:val="el-GR"/>
              </w:rPr>
              <w:t xml:space="preserve"> </w:t>
            </w:r>
            <w:r w:rsidRPr="00CC5ED4">
              <w:t>Vereinten</w:t>
            </w:r>
            <w:r w:rsidRPr="00CC5ED4">
              <w:rPr>
                <w:lang w:val="el-GR"/>
              </w:rPr>
              <w:t xml:space="preserve"> </w:t>
            </w:r>
            <w:r w:rsidRPr="00CC5ED4">
              <w:t>Nationen</w:t>
            </w:r>
            <w:r w:rsidRPr="00CC5ED4">
              <w:rPr>
                <w:lang w:val="el-GR"/>
              </w:rPr>
              <w:t xml:space="preserve"> </w:t>
            </w:r>
            <w:r w:rsidRPr="00CC5ED4">
              <w:t>zu</w:t>
            </w:r>
            <w:r w:rsidRPr="00CC5ED4">
              <w:rPr>
                <w:lang w:val="el-GR"/>
              </w:rPr>
              <w:t xml:space="preserve"> </w:t>
            </w:r>
            <w:r w:rsidRPr="00CC5ED4">
              <w:t>finden</w:t>
            </w:r>
            <w:r w:rsidRPr="00CC5ED4">
              <w:rPr>
                <w:lang w:val="el-GR"/>
              </w:rPr>
              <w:t xml:space="preserve">, </w:t>
            </w:r>
            <w:r w:rsidRPr="00CC5ED4">
              <w:t>die</w:t>
            </w:r>
            <w:r w:rsidRPr="00CC5ED4">
              <w:rPr>
                <w:lang w:val="el-GR"/>
              </w:rPr>
              <w:t xml:space="preserve"> </w:t>
            </w:r>
            <w:r w:rsidRPr="00CC5ED4">
              <w:t>illustriert</w:t>
            </w:r>
            <w:r w:rsidRPr="00CC5ED4">
              <w:rPr>
                <w:lang w:val="el-GR"/>
              </w:rPr>
              <w:t xml:space="preserve">, </w:t>
            </w:r>
            <w:r w:rsidRPr="00CC5ED4">
              <w:t>dass</w:t>
            </w:r>
            <w:r w:rsidRPr="00CC5ED4">
              <w:rPr>
                <w:lang w:val="el-GR"/>
              </w:rPr>
              <w:t xml:space="preserve"> </w:t>
            </w:r>
            <w:r w:rsidRPr="00CC5ED4">
              <w:t>diese</w:t>
            </w:r>
            <w:r w:rsidRPr="00CC5ED4">
              <w:rPr>
                <w:lang w:val="el-GR"/>
              </w:rPr>
              <w:t xml:space="preserve"> </w:t>
            </w:r>
            <w:r w:rsidRPr="00CC5ED4">
              <w:t>Abl</w:t>
            </w:r>
            <w:r w:rsidRPr="00CC5ED4">
              <w:rPr>
                <w:lang w:val="el-GR"/>
              </w:rPr>
              <w:t>ä</w:t>
            </w:r>
            <w:r w:rsidRPr="00CC5ED4">
              <w:t>ufe</w:t>
            </w:r>
            <w:r w:rsidRPr="00CC5ED4">
              <w:rPr>
                <w:lang w:val="el-GR"/>
              </w:rPr>
              <w:t xml:space="preserve"> </w:t>
            </w:r>
            <w:r w:rsidRPr="00CC5ED4">
              <w:t>eine</w:t>
            </w:r>
            <w:r w:rsidRPr="00CC5ED4">
              <w:rPr>
                <w:lang w:val="el-GR"/>
              </w:rPr>
              <w:t xml:space="preserve"> </w:t>
            </w:r>
            <w:r w:rsidRPr="00CC5ED4">
              <w:t>breit</w:t>
            </w:r>
            <w:r w:rsidRPr="00CC5ED4">
              <w:rPr>
                <w:lang w:val="el-GR"/>
              </w:rPr>
              <w:t xml:space="preserve"> </w:t>
            </w:r>
            <w:r w:rsidRPr="00CC5ED4">
              <w:t>gef</w:t>
            </w:r>
            <w:r w:rsidRPr="00CC5ED4">
              <w:rPr>
                <w:lang w:val="el-GR"/>
              </w:rPr>
              <w:t>ä</w:t>
            </w:r>
            <w:r w:rsidRPr="00CC5ED4">
              <w:t>cherte</w:t>
            </w:r>
            <w:r w:rsidRPr="00CC5ED4">
              <w:rPr>
                <w:lang w:val="el-GR"/>
              </w:rPr>
              <w:t xml:space="preserve"> </w:t>
            </w:r>
            <w:r w:rsidRPr="00CC5ED4">
              <w:t>Reihe</w:t>
            </w:r>
            <w:r w:rsidRPr="00CC5ED4">
              <w:rPr>
                <w:lang w:val="el-GR"/>
              </w:rPr>
              <w:t xml:space="preserve"> </w:t>
            </w:r>
            <w:r w:rsidRPr="00CC5ED4">
              <w:t>ziviler</w:t>
            </w:r>
            <w:r w:rsidRPr="00CC5ED4">
              <w:rPr>
                <w:lang w:val="el-GR"/>
              </w:rPr>
              <w:t xml:space="preserve">, </w:t>
            </w:r>
            <w:r w:rsidRPr="00CC5ED4">
              <w:t>politischer</w:t>
            </w:r>
            <w:r w:rsidRPr="00CC5ED4">
              <w:rPr>
                <w:lang w:val="el-GR"/>
              </w:rPr>
              <w:t>, ö</w:t>
            </w:r>
            <w:r w:rsidRPr="00CC5ED4">
              <w:t>konomischer</w:t>
            </w:r>
            <w:r w:rsidRPr="00CC5ED4">
              <w:rPr>
                <w:lang w:val="el-GR"/>
              </w:rPr>
              <w:t xml:space="preserve">, </w:t>
            </w:r>
            <w:r w:rsidRPr="00CC5ED4">
              <w:t>sozialer</w:t>
            </w:r>
            <w:r w:rsidRPr="00CC5ED4">
              <w:rPr>
                <w:lang w:val="el-GR"/>
              </w:rPr>
              <w:t xml:space="preserve">, </w:t>
            </w:r>
            <w:r w:rsidRPr="00CC5ED4">
              <w:t>kultureller</w:t>
            </w:r>
            <w:r w:rsidRPr="00CC5ED4">
              <w:rPr>
                <w:lang w:val="el-GR"/>
              </w:rPr>
              <w:t xml:space="preserve"> </w:t>
            </w:r>
            <w:r w:rsidRPr="00CC5ED4">
              <w:t>und</w:t>
            </w:r>
            <w:r w:rsidRPr="00CC5ED4">
              <w:rPr>
                <w:lang w:val="el-GR"/>
              </w:rPr>
              <w:t xml:space="preserve"> </w:t>
            </w:r>
            <w:r w:rsidRPr="00CC5ED4">
              <w:t>kollektive</w:t>
            </w:r>
            <w:r w:rsidRPr="00CC5ED4">
              <w:rPr>
                <w:lang w:val="el-GR"/>
              </w:rPr>
              <w:t xml:space="preserve"> </w:t>
            </w:r>
            <w:r w:rsidRPr="00CC5ED4">
              <w:t>Rechte</w:t>
            </w:r>
            <w:r w:rsidRPr="00CC5ED4">
              <w:rPr>
                <w:lang w:val="el-GR"/>
              </w:rPr>
              <w:t xml:space="preserve"> </w:t>
            </w:r>
            <w:r w:rsidRPr="00CC5ED4">
              <w:t>umfassen</w:t>
            </w:r>
            <w:r w:rsidRPr="00CC5ED4">
              <w:rPr>
                <w:lang w:val="el-GR"/>
              </w:rPr>
              <w:t xml:space="preserve"> </w:t>
            </w:r>
            <w:r>
              <w:rPr>
                <w:lang w:val="el-GR"/>
              </w:rPr>
              <w:t>einschließlich derer die sich sich auf Folter und Misshandlung beziehen</w:t>
            </w:r>
            <w:r w:rsidR="0034169D" w:rsidRPr="00CC5ED4">
              <w:rPr>
                <w:lang w:val="el-GR"/>
              </w:rPr>
              <w:t>:</w:t>
            </w:r>
          </w:p>
        </w:tc>
        <w:tc>
          <w:tcPr>
            <w:tcW w:w="2552" w:type="dxa"/>
          </w:tcPr>
          <w:p w:rsidR="0034169D" w:rsidRPr="00CC5ED4" w:rsidRDefault="0034169D" w:rsidP="006B4B67">
            <w:pPr>
              <w:pStyle w:val="ListParagraph"/>
              <w:spacing w:after="0" w:line="240" w:lineRule="auto"/>
              <w:ind w:left="313"/>
              <w:rPr>
                <w:rFonts w:cs="Calibri"/>
                <w:i/>
                <w:sz w:val="20"/>
                <w:szCs w:val="20"/>
                <w:lang w:val="el-GR"/>
              </w:rPr>
            </w:pPr>
          </w:p>
        </w:tc>
      </w:tr>
      <w:tr w:rsidR="0034169D" w:rsidRPr="002A3956" w:rsidTr="006B4B67">
        <w:tc>
          <w:tcPr>
            <w:tcW w:w="7337" w:type="dxa"/>
          </w:tcPr>
          <w:p w:rsidR="0034169D" w:rsidRDefault="0034169D" w:rsidP="007D1DD3">
            <w:pPr>
              <w:pStyle w:val="BodyText"/>
              <w:numPr>
                <w:ilvl w:val="0"/>
                <w:numId w:val="5"/>
              </w:numPr>
              <w:rPr>
                <w:lang w:val="en-GB"/>
              </w:rPr>
            </w:pPr>
            <w:r w:rsidRPr="007D1DD3">
              <w:rPr>
                <w:lang w:val="en-GB"/>
              </w:rPr>
              <w:t xml:space="preserve">the </w:t>
            </w:r>
            <w:hyperlink r:id="rId19" w:history="1">
              <w:r w:rsidRPr="00DB0E87">
                <w:rPr>
                  <w:rStyle w:val="Hyperlink"/>
                  <w:lang w:val="en-GB"/>
                </w:rPr>
                <w:t>International Convention on the Elimination of All Forms of Racial Discrimination</w:t>
              </w:r>
            </w:hyperlink>
            <w:r w:rsidRPr="007D1DD3">
              <w:rPr>
                <w:lang w:val="en-GB"/>
              </w:rPr>
              <w:t>;</w:t>
            </w:r>
          </w:p>
          <w:p w:rsidR="0034169D" w:rsidRPr="007D1DD3" w:rsidRDefault="001B2E12" w:rsidP="007D1DD3">
            <w:pPr>
              <w:pStyle w:val="BodyText"/>
              <w:numPr>
                <w:ilvl w:val="0"/>
                <w:numId w:val="5"/>
              </w:numPr>
              <w:rPr>
                <w:lang w:val="en-GB"/>
              </w:rPr>
            </w:pPr>
            <w:hyperlink r:id="rId20" w:history="1">
              <w:r w:rsidR="0034169D" w:rsidRPr="00DB0E87">
                <w:rPr>
                  <w:rStyle w:val="Hyperlink"/>
                  <w:lang w:val="en-GB"/>
                </w:rPr>
                <w:t>International Covenant on Civil and Political Rights</w:t>
              </w:r>
            </w:hyperlink>
            <w:r w:rsidR="0034169D" w:rsidRPr="007D1DD3">
              <w:rPr>
                <w:lang w:val="en-GB"/>
              </w:rPr>
              <w:t>;</w:t>
            </w:r>
          </w:p>
          <w:p w:rsidR="0034169D" w:rsidRPr="007D1DD3" w:rsidRDefault="001B2E12" w:rsidP="007D1DD3">
            <w:pPr>
              <w:pStyle w:val="BodyText"/>
              <w:numPr>
                <w:ilvl w:val="0"/>
                <w:numId w:val="5"/>
              </w:numPr>
              <w:rPr>
                <w:lang w:val="en-GB"/>
              </w:rPr>
            </w:pPr>
            <w:hyperlink r:id="rId21" w:history="1">
              <w:r w:rsidR="0034169D" w:rsidRPr="00DB0E87">
                <w:rPr>
                  <w:rStyle w:val="Hyperlink"/>
                  <w:lang w:val="en-GB"/>
                </w:rPr>
                <w:t>International Covenant on Economic, Social and Cultural Rights</w:t>
              </w:r>
            </w:hyperlink>
            <w:r w:rsidR="0034169D" w:rsidRPr="007D1DD3">
              <w:rPr>
                <w:lang w:val="en-GB"/>
              </w:rPr>
              <w:t>;</w:t>
            </w:r>
          </w:p>
          <w:p w:rsidR="0034169D" w:rsidRPr="007D1DD3" w:rsidRDefault="001B2E12" w:rsidP="007D1DD3">
            <w:pPr>
              <w:pStyle w:val="BodyText"/>
              <w:numPr>
                <w:ilvl w:val="0"/>
                <w:numId w:val="5"/>
              </w:numPr>
              <w:rPr>
                <w:lang w:val="en-GB"/>
              </w:rPr>
            </w:pPr>
            <w:hyperlink r:id="rId22" w:history="1">
              <w:r w:rsidR="0034169D" w:rsidRPr="0044770D">
                <w:rPr>
                  <w:rStyle w:val="Hyperlink"/>
                  <w:lang w:val="en-GB"/>
                </w:rPr>
                <w:t xml:space="preserve">Convention on the Elimination of all </w:t>
              </w:r>
              <w:r w:rsidR="0034169D">
                <w:rPr>
                  <w:rStyle w:val="Hyperlink"/>
                  <w:lang w:val="en-GB"/>
                </w:rPr>
                <w:t>F</w:t>
              </w:r>
              <w:r w:rsidR="0034169D" w:rsidRPr="0044770D">
                <w:rPr>
                  <w:rStyle w:val="Hyperlink"/>
                  <w:lang w:val="en-GB"/>
                </w:rPr>
                <w:t>orms of Discrimination against Women</w:t>
              </w:r>
            </w:hyperlink>
            <w:r w:rsidR="0034169D" w:rsidRPr="007D1DD3">
              <w:rPr>
                <w:lang w:val="en-GB"/>
              </w:rPr>
              <w:t>;</w:t>
            </w:r>
          </w:p>
          <w:p w:rsidR="0034169D" w:rsidRPr="007D1DD3" w:rsidRDefault="001B2E12" w:rsidP="007D1DD3">
            <w:pPr>
              <w:pStyle w:val="BodyText"/>
              <w:numPr>
                <w:ilvl w:val="0"/>
                <w:numId w:val="5"/>
              </w:numPr>
              <w:rPr>
                <w:lang w:val="en-GB"/>
              </w:rPr>
            </w:pPr>
            <w:hyperlink r:id="rId23" w:history="1">
              <w:r w:rsidR="0034169D" w:rsidRPr="0044770D">
                <w:rPr>
                  <w:rStyle w:val="Hyperlink"/>
                  <w:lang w:val="en-GB"/>
                </w:rPr>
                <w:t>Convention against Torture</w:t>
              </w:r>
            </w:hyperlink>
            <w:r w:rsidR="0034169D" w:rsidRPr="00761F91">
              <w:rPr>
                <w:lang w:val="en-GB"/>
              </w:rPr>
              <w:t xml:space="preserve"> and Other Cruel, Inhuman or Degrading Treatment or Punishment</w:t>
            </w:r>
            <w:r w:rsidR="00CC5ED4">
              <w:rPr>
                <w:lang w:val="en-GB"/>
              </w:rPr>
              <w:t xml:space="preserve"> (Anti Folter Konvention)</w:t>
            </w:r>
          </w:p>
          <w:p w:rsidR="0034169D" w:rsidRDefault="001B2E12" w:rsidP="0044770D">
            <w:pPr>
              <w:pStyle w:val="BodyText"/>
              <w:numPr>
                <w:ilvl w:val="0"/>
                <w:numId w:val="5"/>
              </w:numPr>
              <w:rPr>
                <w:lang w:val="en-GB"/>
              </w:rPr>
            </w:pPr>
            <w:hyperlink r:id="rId24" w:history="1">
              <w:r w:rsidR="0034169D" w:rsidRPr="0044770D">
                <w:rPr>
                  <w:rStyle w:val="Hyperlink"/>
                  <w:lang w:val="en-GB"/>
                </w:rPr>
                <w:t>Convention on the Rights of the Child</w:t>
              </w:r>
            </w:hyperlink>
            <w:r w:rsidR="0034169D">
              <w:rPr>
                <w:lang w:val="en-GB"/>
              </w:rPr>
              <w:t>;</w:t>
            </w:r>
          </w:p>
          <w:p w:rsidR="0034169D" w:rsidRPr="006F3C63" w:rsidRDefault="0034169D" w:rsidP="0044770D">
            <w:pPr>
              <w:pStyle w:val="BodyText"/>
              <w:numPr>
                <w:ilvl w:val="0"/>
                <w:numId w:val="5"/>
              </w:numPr>
              <w:rPr>
                <w:rStyle w:val="Hyperlink"/>
                <w:color w:val="auto"/>
                <w:u w:val="none"/>
                <w:lang w:val="en-GB"/>
              </w:rPr>
            </w:pPr>
            <w:r w:rsidRPr="00E26DFE">
              <w:rPr>
                <w:rStyle w:val="Hyperlink"/>
                <w:lang w:val="en-GB"/>
              </w:rPr>
              <w:t>the International Convention on the Protection of the Rights of All Migrant Workers and Members of Their Families</w:t>
            </w:r>
            <w:r w:rsidRPr="00761F91">
              <w:rPr>
                <w:rStyle w:val="Hyperlink"/>
                <w:lang w:val="en-GB"/>
              </w:rPr>
              <w:t>; and</w:t>
            </w:r>
          </w:p>
          <w:p w:rsidR="0034169D" w:rsidRPr="007D1DD3" w:rsidRDefault="0034169D" w:rsidP="00FE5DDF">
            <w:pPr>
              <w:pStyle w:val="BodyText"/>
              <w:numPr>
                <w:ilvl w:val="0"/>
                <w:numId w:val="5"/>
              </w:numPr>
              <w:rPr>
                <w:lang w:val="en-GB"/>
              </w:rPr>
            </w:pPr>
            <w:r w:rsidRPr="00761F91">
              <w:rPr>
                <w:rStyle w:val="Hyperlink"/>
                <w:lang w:val="en-GB"/>
              </w:rPr>
              <w:t>the Convention on the Rights of Persons with Disabilities.</w:t>
            </w:r>
          </w:p>
        </w:tc>
        <w:tc>
          <w:tcPr>
            <w:tcW w:w="2552" w:type="dxa"/>
          </w:tcPr>
          <w:p w:rsidR="0034169D" w:rsidRPr="00DB0E87" w:rsidRDefault="00CC5ED4" w:rsidP="00EE7B0B">
            <w:pPr>
              <w:pStyle w:val="ListParagraph"/>
              <w:numPr>
                <w:ilvl w:val="0"/>
                <w:numId w:val="7"/>
              </w:numPr>
              <w:spacing w:after="0" w:line="240" w:lineRule="auto"/>
              <w:ind w:left="318" w:hanging="284"/>
              <w:rPr>
                <w:rFonts w:cs="Calibri"/>
                <w:b/>
                <w:i/>
                <w:sz w:val="20"/>
                <w:szCs w:val="20"/>
                <w:lang w:val="en-US"/>
              </w:rPr>
            </w:pPr>
            <w:r>
              <w:rPr>
                <w:rFonts w:cs="Calibri"/>
                <w:i/>
                <w:sz w:val="20"/>
                <w:szCs w:val="20"/>
                <w:lang w:val="en-US"/>
              </w:rPr>
              <w:lastRenderedPageBreak/>
              <w:t xml:space="preserve">Siehe </w:t>
            </w:r>
            <w:r w:rsidR="0034169D">
              <w:rPr>
                <w:rFonts w:cs="Calibri"/>
                <w:i/>
                <w:sz w:val="20"/>
                <w:szCs w:val="20"/>
                <w:lang w:val="en-US"/>
              </w:rPr>
              <w:t>Art. 9</w:t>
            </w:r>
            <w:r>
              <w:rPr>
                <w:rFonts w:cs="Calibri"/>
                <w:i/>
                <w:sz w:val="20"/>
                <w:szCs w:val="20"/>
                <w:lang w:val="en-US"/>
              </w:rPr>
              <w:t xml:space="preserve"> und </w:t>
            </w:r>
            <w:r w:rsidR="0034169D">
              <w:rPr>
                <w:rFonts w:cs="Calibri"/>
                <w:i/>
                <w:sz w:val="20"/>
                <w:szCs w:val="20"/>
                <w:lang w:val="en-US"/>
              </w:rPr>
              <w:t>Art. 15</w:t>
            </w:r>
          </w:p>
          <w:p w:rsidR="0034169D" w:rsidRPr="00DB0E87" w:rsidRDefault="0034169D" w:rsidP="00EE7B0B">
            <w:pPr>
              <w:pStyle w:val="ListParagraph"/>
              <w:spacing w:after="0" w:line="240" w:lineRule="auto"/>
              <w:ind w:left="318" w:hanging="284"/>
              <w:rPr>
                <w:rFonts w:cs="Calibri"/>
                <w:b/>
                <w:i/>
                <w:sz w:val="20"/>
                <w:szCs w:val="20"/>
                <w:lang w:val="en-US"/>
              </w:rPr>
            </w:pPr>
          </w:p>
          <w:p w:rsidR="0034169D" w:rsidRDefault="00CC5ED4" w:rsidP="00EE7B0B">
            <w:pPr>
              <w:pStyle w:val="ListParagraph"/>
              <w:numPr>
                <w:ilvl w:val="0"/>
                <w:numId w:val="7"/>
              </w:numPr>
              <w:spacing w:after="0" w:line="240" w:lineRule="auto"/>
              <w:ind w:left="318" w:hanging="284"/>
              <w:rPr>
                <w:rFonts w:cs="Calibri"/>
                <w:i/>
                <w:sz w:val="20"/>
                <w:szCs w:val="20"/>
                <w:lang w:val="en-US"/>
              </w:rPr>
            </w:pPr>
            <w:r>
              <w:rPr>
                <w:rFonts w:cs="Calibri"/>
                <w:i/>
                <w:sz w:val="20"/>
                <w:szCs w:val="20"/>
                <w:lang w:val="en-US"/>
              </w:rPr>
              <w:t xml:space="preserve">Siehe </w:t>
            </w:r>
            <w:r w:rsidR="0034169D" w:rsidRPr="00DB0E87">
              <w:rPr>
                <w:rFonts w:cs="Calibri"/>
                <w:i/>
                <w:sz w:val="20"/>
                <w:szCs w:val="20"/>
                <w:lang w:val="en-US"/>
              </w:rPr>
              <w:t>Art. 40</w:t>
            </w:r>
          </w:p>
          <w:p w:rsidR="0034169D" w:rsidRDefault="0034169D" w:rsidP="00EE7B0B">
            <w:pPr>
              <w:pStyle w:val="ListParagraph"/>
              <w:spacing w:after="0" w:line="240" w:lineRule="auto"/>
              <w:ind w:left="318" w:hanging="284"/>
              <w:rPr>
                <w:rFonts w:cs="Calibri"/>
                <w:i/>
                <w:sz w:val="20"/>
                <w:szCs w:val="20"/>
                <w:lang w:val="en-US"/>
              </w:rPr>
            </w:pPr>
          </w:p>
          <w:p w:rsidR="0034169D" w:rsidRDefault="00CC5ED4" w:rsidP="00EE7B0B">
            <w:pPr>
              <w:pStyle w:val="ListParagraph"/>
              <w:numPr>
                <w:ilvl w:val="0"/>
                <w:numId w:val="7"/>
              </w:numPr>
              <w:spacing w:after="0" w:line="240" w:lineRule="auto"/>
              <w:ind w:left="318" w:hanging="284"/>
              <w:rPr>
                <w:rFonts w:cs="Calibri"/>
                <w:i/>
                <w:sz w:val="20"/>
                <w:szCs w:val="20"/>
                <w:lang w:val="en-US"/>
              </w:rPr>
            </w:pPr>
            <w:r>
              <w:rPr>
                <w:rFonts w:cs="Calibri"/>
                <w:i/>
                <w:sz w:val="20"/>
                <w:szCs w:val="20"/>
                <w:lang w:val="en-US"/>
              </w:rPr>
              <w:t xml:space="preserve">Siehe </w:t>
            </w:r>
            <w:r w:rsidR="0034169D">
              <w:rPr>
                <w:rFonts w:cs="Calibri"/>
                <w:i/>
                <w:sz w:val="20"/>
                <w:szCs w:val="20"/>
                <w:lang w:val="en-US"/>
              </w:rPr>
              <w:t>Art. 16</w:t>
            </w:r>
          </w:p>
          <w:p w:rsidR="0034169D" w:rsidRDefault="0034169D" w:rsidP="00EE7B0B">
            <w:pPr>
              <w:pStyle w:val="ListParagraph"/>
              <w:spacing w:after="0" w:line="240" w:lineRule="auto"/>
              <w:ind w:left="318" w:hanging="284"/>
              <w:rPr>
                <w:rFonts w:cs="Calibri"/>
                <w:i/>
                <w:sz w:val="20"/>
                <w:szCs w:val="20"/>
                <w:lang w:val="en-US"/>
              </w:rPr>
            </w:pPr>
          </w:p>
          <w:p w:rsidR="0034169D" w:rsidRDefault="0034169D" w:rsidP="00EE7B0B">
            <w:pPr>
              <w:pStyle w:val="ListParagraph"/>
              <w:spacing w:after="0" w:line="240" w:lineRule="auto"/>
              <w:ind w:left="318" w:hanging="284"/>
              <w:rPr>
                <w:rFonts w:cs="Calibri"/>
                <w:i/>
                <w:sz w:val="20"/>
                <w:szCs w:val="20"/>
                <w:lang w:val="en-US"/>
              </w:rPr>
            </w:pPr>
          </w:p>
          <w:p w:rsidR="0034169D" w:rsidRDefault="00CC5ED4" w:rsidP="00EE7B0B">
            <w:pPr>
              <w:pStyle w:val="ListParagraph"/>
              <w:numPr>
                <w:ilvl w:val="0"/>
                <w:numId w:val="7"/>
              </w:numPr>
              <w:spacing w:after="0" w:line="240" w:lineRule="auto"/>
              <w:ind w:left="318" w:hanging="284"/>
              <w:rPr>
                <w:rFonts w:cs="Calibri"/>
                <w:i/>
                <w:sz w:val="20"/>
                <w:szCs w:val="20"/>
                <w:lang w:val="en-US"/>
              </w:rPr>
            </w:pPr>
            <w:r>
              <w:rPr>
                <w:rFonts w:cs="Calibri"/>
                <w:i/>
                <w:sz w:val="20"/>
                <w:szCs w:val="20"/>
                <w:lang w:val="en-US"/>
              </w:rPr>
              <w:t xml:space="preserve">Siehe </w:t>
            </w:r>
            <w:r w:rsidR="0034169D">
              <w:rPr>
                <w:rFonts w:cs="Calibri"/>
                <w:i/>
                <w:sz w:val="20"/>
                <w:szCs w:val="20"/>
                <w:lang w:val="en-US"/>
              </w:rPr>
              <w:t>Art. 18</w:t>
            </w:r>
            <w:r w:rsidR="0034169D">
              <w:rPr>
                <w:rFonts w:cs="Calibri"/>
                <w:i/>
                <w:sz w:val="20"/>
                <w:szCs w:val="20"/>
                <w:lang w:val="en-US"/>
              </w:rPr>
              <w:br/>
            </w:r>
          </w:p>
          <w:p w:rsidR="0034169D" w:rsidRDefault="0034169D">
            <w:pPr>
              <w:pStyle w:val="ListParagraph"/>
              <w:spacing w:after="0" w:line="240" w:lineRule="auto"/>
              <w:ind w:left="318"/>
              <w:rPr>
                <w:rFonts w:cs="Calibri"/>
                <w:i/>
                <w:sz w:val="20"/>
                <w:szCs w:val="20"/>
                <w:lang w:val="en-US"/>
              </w:rPr>
            </w:pPr>
          </w:p>
          <w:p w:rsidR="0034169D" w:rsidRDefault="00CC5ED4" w:rsidP="00EE7B0B">
            <w:pPr>
              <w:pStyle w:val="ListParagraph"/>
              <w:numPr>
                <w:ilvl w:val="0"/>
                <w:numId w:val="7"/>
              </w:numPr>
              <w:spacing w:after="0" w:line="240" w:lineRule="auto"/>
              <w:ind w:left="318" w:hanging="284"/>
              <w:rPr>
                <w:rFonts w:cs="Calibri"/>
                <w:i/>
                <w:sz w:val="20"/>
                <w:szCs w:val="20"/>
                <w:lang w:val="en-US"/>
              </w:rPr>
            </w:pPr>
            <w:r>
              <w:rPr>
                <w:rFonts w:cs="Calibri"/>
                <w:i/>
                <w:sz w:val="20"/>
                <w:szCs w:val="20"/>
                <w:lang w:val="en-US"/>
              </w:rPr>
              <w:t xml:space="preserve">Siehe </w:t>
            </w:r>
            <w:r w:rsidR="0034169D">
              <w:rPr>
                <w:rFonts w:cs="Calibri"/>
                <w:i/>
                <w:sz w:val="20"/>
                <w:szCs w:val="20"/>
                <w:lang w:val="en-US"/>
              </w:rPr>
              <w:t>Art. 19</w:t>
            </w:r>
          </w:p>
          <w:p w:rsidR="0034169D" w:rsidRDefault="0034169D">
            <w:pPr>
              <w:pStyle w:val="ListParagraph"/>
              <w:rPr>
                <w:rFonts w:cs="Calibri"/>
                <w:i/>
                <w:sz w:val="20"/>
                <w:szCs w:val="20"/>
                <w:lang w:val="en-US"/>
              </w:rPr>
            </w:pPr>
          </w:p>
          <w:p w:rsidR="0034169D" w:rsidRPr="0044770D" w:rsidRDefault="0034169D" w:rsidP="00EE7B0B">
            <w:pPr>
              <w:pStyle w:val="ListParagraph"/>
              <w:spacing w:after="0" w:line="240" w:lineRule="auto"/>
              <w:ind w:left="318" w:hanging="284"/>
              <w:rPr>
                <w:rFonts w:cs="Calibri"/>
                <w:i/>
                <w:sz w:val="8"/>
                <w:szCs w:val="8"/>
                <w:lang w:val="en-US"/>
              </w:rPr>
            </w:pPr>
          </w:p>
          <w:p w:rsidR="0034169D" w:rsidRPr="0044770D" w:rsidRDefault="00CC5ED4" w:rsidP="00EE7B0B">
            <w:pPr>
              <w:pStyle w:val="ListParagraph"/>
              <w:numPr>
                <w:ilvl w:val="0"/>
                <w:numId w:val="7"/>
              </w:numPr>
              <w:spacing w:after="0" w:line="240" w:lineRule="auto"/>
              <w:ind w:left="318" w:hanging="284"/>
              <w:rPr>
                <w:rFonts w:cs="Calibri"/>
                <w:i/>
                <w:sz w:val="20"/>
                <w:szCs w:val="20"/>
                <w:lang w:val="en-US"/>
              </w:rPr>
            </w:pPr>
            <w:r>
              <w:rPr>
                <w:rFonts w:cs="Calibri"/>
                <w:i/>
                <w:sz w:val="20"/>
                <w:szCs w:val="20"/>
                <w:lang w:val="en-US"/>
              </w:rPr>
              <w:t>Siehe</w:t>
            </w:r>
            <w:r w:rsidR="0034169D">
              <w:rPr>
                <w:rFonts w:cs="Calibri"/>
                <w:i/>
                <w:sz w:val="20"/>
                <w:szCs w:val="20"/>
                <w:lang w:val="en-US"/>
              </w:rPr>
              <w:t xml:space="preserve"> Art. 44</w:t>
            </w:r>
          </w:p>
        </w:tc>
      </w:tr>
      <w:tr w:rsidR="0034169D" w:rsidRPr="004644C5" w:rsidTr="006B4B67">
        <w:tc>
          <w:tcPr>
            <w:tcW w:w="7337" w:type="dxa"/>
          </w:tcPr>
          <w:p w:rsidR="0034169D" w:rsidRPr="00CC5ED4" w:rsidRDefault="00CC5ED4" w:rsidP="006B4B67">
            <w:pPr>
              <w:pStyle w:val="BodyText"/>
            </w:pPr>
            <w:r w:rsidRPr="00CC5ED4">
              <w:lastRenderedPageBreak/>
              <w:t xml:space="preserve">Berichtmechanismen auffordern dass die Vertragsparteien in regelmäßigen Intervallen über den Zustand der Menschenrechte in ihrem Land berichten, d.h. einen Überblick geben welche Menschenrechte implementiert, gefördert. </w:t>
            </w:r>
            <w:r w:rsidRPr="00AB763B">
              <w:t xml:space="preserve">Geschützt wurden. </w:t>
            </w:r>
            <w:r w:rsidRPr="00CC5ED4">
              <w:t>Diese Art von Abläufen kann als reguläres oder normales System in der internationalen Menschenrechtsbeobachtung gesehen werden da eine Berichterstattung Teil fast aller wichtigen internationalen Konventionen ist</w:t>
            </w:r>
            <w:r w:rsidR="0034169D" w:rsidRPr="00CC5ED4">
              <w:t>.</w:t>
            </w:r>
          </w:p>
          <w:p w:rsidR="0034169D" w:rsidRPr="00AB763B" w:rsidRDefault="00CC5ED4" w:rsidP="006B4B67">
            <w:pPr>
              <w:pStyle w:val="BodyText"/>
            </w:pPr>
            <w:r w:rsidRPr="00CC5ED4">
              <w:t xml:space="preserve">Hier liegt die Stärke von Berichtsmechanismen: Sie geben internationalen Beobachtungsmechanismen und Organisationen eine regelmäßige Übersicht über die Menschenrechtssituation in </w:t>
            </w:r>
            <w:r>
              <w:t xml:space="preserve">den Mitgliedsstaaten der verschiedenen Verträge. </w:t>
            </w:r>
            <w:r w:rsidRPr="00CC5ED4">
              <w:t xml:space="preserve">Hierdurch erlauben sie den Beobachtungs Einrichtungen kritische Fragen einzubringen, wenn Staaten ihren </w:t>
            </w:r>
            <w:r>
              <w:t xml:space="preserve">nationalen Bericht vorstellen müssen und so genannte konstruktive Dialoge zwischen den Beobachtungs Einrichtungen und den jeweiligen Staaten zu beginnen </w:t>
            </w:r>
          </w:p>
          <w:p w:rsidR="0034169D" w:rsidRPr="00B3495F" w:rsidRDefault="00CC5ED4" w:rsidP="00B3495F">
            <w:pPr>
              <w:pStyle w:val="BodyText"/>
            </w:pPr>
            <w:r w:rsidRPr="00CC5ED4">
              <w:t xml:space="preserve">Berichtsmechanismen haben jedoch auch Schwächen die wichtigste ist das die Schlussfolgerungen und Empfehlungen </w:t>
            </w:r>
            <w:r>
              <w:t xml:space="preserve">die von den Beobachtungs Einrichtungen abgegeben werden, die Staaten nicht binden, zumindest nicht auf rechtlicher Ebene. </w:t>
            </w:r>
            <w:r w:rsidRPr="00B3495F">
              <w:t xml:space="preserve">Ein anderes Problem sind immer die Verzögerungen mit denen einige staatliche Gerichte abgegeben werden </w:t>
            </w:r>
            <w:r w:rsidR="00B3495F" w:rsidRPr="00B3495F">
              <w:t xml:space="preserve">das zu eigenartigen Situationen führen kann, wie </w:t>
            </w:r>
            <w:r w:rsidR="00B3495F">
              <w:t>das sich die Beteiligten auf der Basis veralteter Informationen auf Gespräche einlassen .</w:t>
            </w:r>
          </w:p>
        </w:tc>
        <w:tc>
          <w:tcPr>
            <w:tcW w:w="2552" w:type="dxa"/>
          </w:tcPr>
          <w:p w:rsidR="0034169D" w:rsidRPr="00B3495F" w:rsidRDefault="0034169D" w:rsidP="006B4B67">
            <w:pPr>
              <w:pStyle w:val="ListParagraph"/>
              <w:spacing w:after="0" w:line="240" w:lineRule="auto"/>
              <w:ind w:left="313"/>
              <w:rPr>
                <w:rFonts w:cs="Calibri"/>
                <w:i/>
                <w:sz w:val="20"/>
                <w:szCs w:val="20"/>
              </w:rPr>
            </w:pPr>
          </w:p>
        </w:tc>
      </w:tr>
      <w:tr w:rsidR="0034169D" w:rsidRPr="00EE24BF" w:rsidTr="006B4B67">
        <w:tc>
          <w:tcPr>
            <w:tcW w:w="7337" w:type="dxa"/>
          </w:tcPr>
          <w:p w:rsidR="0034169D" w:rsidRPr="00C702EA" w:rsidRDefault="0034169D" w:rsidP="00B3495F">
            <w:pPr>
              <w:pStyle w:val="Heading2"/>
              <w:rPr>
                <w:lang w:val="en-US"/>
              </w:rPr>
            </w:pPr>
            <w:bookmarkStart w:id="8" w:name="_Toc357626643"/>
            <w:r w:rsidRPr="00C702EA">
              <w:rPr>
                <w:lang w:val="en-US"/>
              </w:rPr>
              <w:t xml:space="preserve">3.2 </w:t>
            </w:r>
            <w:r w:rsidR="00B3495F">
              <w:rPr>
                <w:lang w:val="en-US"/>
              </w:rPr>
              <w:t>Beschwerdemechanismen</w:t>
            </w:r>
            <w:bookmarkEnd w:id="8"/>
          </w:p>
        </w:tc>
        <w:tc>
          <w:tcPr>
            <w:tcW w:w="2552" w:type="dxa"/>
          </w:tcPr>
          <w:p w:rsidR="0034169D" w:rsidRPr="004D67C9" w:rsidRDefault="0034169D" w:rsidP="006B4B67">
            <w:pPr>
              <w:pStyle w:val="ListParagraph"/>
              <w:spacing w:after="0" w:line="240" w:lineRule="auto"/>
              <w:ind w:left="313"/>
              <w:rPr>
                <w:rFonts w:cs="Calibri"/>
                <w:b/>
                <w:i/>
                <w:sz w:val="20"/>
                <w:szCs w:val="20"/>
                <w:lang w:val="en-US"/>
              </w:rPr>
            </w:pPr>
          </w:p>
        </w:tc>
      </w:tr>
      <w:tr w:rsidR="0034169D" w:rsidRPr="004644C5" w:rsidTr="006B4B67">
        <w:tc>
          <w:tcPr>
            <w:tcW w:w="7337" w:type="dxa"/>
          </w:tcPr>
          <w:p w:rsidR="0034169D" w:rsidRPr="00B3495F" w:rsidRDefault="00B3495F" w:rsidP="00B3495F">
            <w:pPr>
              <w:pStyle w:val="BodyText"/>
            </w:pPr>
            <w:r w:rsidRPr="00B3495F">
              <w:t>Beschwerdemechanismen stellen einen zweiten Typ internationaler Beobachtungsmechanismen dar.</w:t>
            </w:r>
            <w:r>
              <w:t xml:space="preserve"> </w:t>
            </w:r>
            <w:r w:rsidRPr="00B3495F">
              <w:t>Sie erlauben, dass konkrete Fälle von Menschenrechtsverletzungen an internationale Beobachtungsbehörden</w:t>
            </w:r>
            <w:r>
              <w:t xml:space="preserve"> übergeben werden</w:t>
            </w:r>
            <w:r w:rsidR="0034169D" w:rsidRPr="00B3495F">
              <w:t xml:space="preserve">. </w:t>
            </w:r>
            <w:r w:rsidRPr="00B3495F">
              <w:t xml:space="preserve">Beschwerden können vonstatten gegen andere Staaten eingereicht werden (zwischenstaatliche Beschwerden) oder durch </w:t>
            </w:r>
            <w:r>
              <w:t>Einzelpersonen oder Gruppen von Einzelpersonen (individuelle Beschwerden)</w:t>
            </w:r>
            <w:r w:rsidR="0034169D" w:rsidRPr="00B3495F">
              <w:t>.</w:t>
            </w:r>
          </w:p>
        </w:tc>
        <w:tc>
          <w:tcPr>
            <w:tcW w:w="2552" w:type="dxa"/>
          </w:tcPr>
          <w:p w:rsidR="0034169D" w:rsidRPr="00B3495F" w:rsidRDefault="0034169D" w:rsidP="00F1047C">
            <w:pPr>
              <w:spacing w:after="0" w:line="240" w:lineRule="auto"/>
              <w:rPr>
                <w:rFonts w:cs="Calibri"/>
                <w:i/>
                <w:sz w:val="20"/>
                <w:szCs w:val="20"/>
                <w:lang w:val="de-DE"/>
              </w:rPr>
            </w:pPr>
          </w:p>
        </w:tc>
      </w:tr>
      <w:tr w:rsidR="0034169D" w:rsidRPr="004644C5" w:rsidTr="006B4B67">
        <w:tc>
          <w:tcPr>
            <w:tcW w:w="7337" w:type="dxa"/>
          </w:tcPr>
          <w:p w:rsidR="0034169D" w:rsidRPr="00786F17" w:rsidRDefault="0034169D" w:rsidP="007D1DD3">
            <w:pPr>
              <w:pStyle w:val="BodyText"/>
              <w:rPr>
                <w:lang w:val="en-US"/>
              </w:rPr>
            </w:pPr>
            <w:r>
              <w:rPr>
                <w:lang w:val="en-GB"/>
              </w:rPr>
              <w:lastRenderedPageBreak/>
              <w:t>Not all human rights conventions contain a complaints procedure. In the United Nations system, e.g., only five of the major conventions provide the possibility for individuals to lodge complaints against the Contracting State:</w:t>
            </w:r>
          </w:p>
        </w:tc>
        <w:tc>
          <w:tcPr>
            <w:tcW w:w="2552" w:type="dxa"/>
          </w:tcPr>
          <w:p w:rsidR="0034169D" w:rsidRPr="004D67C9" w:rsidRDefault="0034169D" w:rsidP="00F1047C">
            <w:pPr>
              <w:pStyle w:val="ListParagraph"/>
              <w:spacing w:after="0" w:line="240" w:lineRule="auto"/>
              <w:ind w:left="313"/>
              <w:rPr>
                <w:rFonts w:cs="Calibri"/>
                <w:i/>
                <w:sz w:val="20"/>
                <w:szCs w:val="20"/>
                <w:lang w:val="en-US"/>
              </w:rPr>
            </w:pPr>
          </w:p>
        </w:tc>
      </w:tr>
      <w:tr w:rsidR="0034169D" w:rsidRPr="00642339" w:rsidTr="006B4B67">
        <w:tc>
          <w:tcPr>
            <w:tcW w:w="7337" w:type="dxa"/>
          </w:tcPr>
          <w:p w:rsidR="0034169D" w:rsidRPr="007D1DD3" w:rsidRDefault="001B2E12" w:rsidP="007D1DD3">
            <w:pPr>
              <w:pStyle w:val="BodyText"/>
              <w:numPr>
                <w:ilvl w:val="0"/>
                <w:numId w:val="6"/>
              </w:numPr>
              <w:rPr>
                <w:lang w:val="en-GB"/>
              </w:rPr>
            </w:pPr>
            <w:hyperlink r:id="rId25" w:history="1">
              <w:r w:rsidR="0034169D" w:rsidRPr="00EE7B0B">
                <w:rPr>
                  <w:rStyle w:val="Hyperlink"/>
                  <w:lang w:val="en-GB"/>
                </w:rPr>
                <w:t>International Convention on the Elimination of All Forms of Racial Discrimination</w:t>
              </w:r>
            </w:hyperlink>
            <w:r w:rsidR="0034169D" w:rsidRPr="007D1DD3">
              <w:rPr>
                <w:lang w:val="en-GB"/>
              </w:rPr>
              <w:t>;</w:t>
            </w:r>
          </w:p>
          <w:p w:rsidR="0034169D" w:rsidRPr="007D1DD3" w:rsidRDefault="0034169D" w:rsidP="007D1DD3">
            <w:pPr>
              <w:pStyle w:val="BodyText"/>
              <w:numPr>
                <w:ilvl w:val="0"/>
                <w:numId w:val="6"/>
              </w:numPr>
              <w:rPr>
                <w:lang w:val="en-GB"/>
              </w:rPr>
            </w:pPr>
            <w:r w:rsidRPr="007D1DD3">
              <w:rPr>
                <w:lang w:val="en-GB"/>
              </w:rPr>
              <w:t xml:space="preserve">International Covenant on Civil and Political Rights (in an </w:t>
            </w:r>
            <w:hyperlink r:id="rId26" w:history="1">
              <w:r w:rsidRPr="00EE7B0B">
                <w:rPr>
                  <w:rStyle w:val="Hyperlink"/>
                  <w:lang w:val="en-GB"/>
                </w:rPr>
                <w:t>optional protocol</w:t>
              </w:r>
            </w:hyperlink>
            <w:r w:rsidRPr="007D1DD3">
              <w:rPr>
                <w:lang w:val="en-GB"/>
              </w:rPr>
              <w:t>);</w:t>
            </w:r>
          </w:p>
          <w:p w:rsidR="0034169D" w:rsidRDefault="001B2E12" w:rsidP="006B4B67">
            <w:pPr>
              <w:pStyle w:val="BodyText"/>
              <w:numPr>
                <w:ilvl w:val="0"/>
                <w:numId w:val="6"/>
              </w:numPr>
              <w:rPr>
                <w:lang w:val="en-GB"/>
              </w:rPr>
            </w:pPr>
            <w:hyperlink r:id="rId27" w:history="1">
              <w:r w:rsidR="0034169D" w:rsidRPr="00DF7E34">
                <w:rPr>
                  <w:rStyle w:val="Hyperlink"/>
                  <w:lang w:val="en-GB"/>
                </w:rPr>
                <w:t>Convention against Torture</w:t>
              </w:r>
            </w:hyperlink>
            <w:r w:rsidR="0034169D" w:rsidRPr="00B42032">
              <w:rPr>
                <w:lang w:val="en-GB"/>
              </w:rPr>
              <w:t xml:space="preserve"> and Other Cruel, Inhuman or Degrading Treatment or Punishment</w:t>
            </w:r>
            <w:r w:rsidR="00B3495F">
              <w:rPr>
                <w:lang w:val="en-GB"/>
              </w:rPr>
              <w:t xml:space="preserve"> (Anti Folter Konvention)</w:t>
            </w:r>
            <w:r w:rsidR="0034169D" w:rsidRPr="007D1DD3">
              <w:rPr>
                <w:lang w:val="en-GB"/>
              </w:rPr>
              <w:t>;</w:t>
            </w:r>
          </w:p>
          <w:p w:rsidR="0034169D" w:rsidRPr="007D1DD3" w:rsidRDefault="001B2E12" w:rsidP="00753DDD">
            <w:pPr>
              <w:pStyle w:val="BodyText"/>
              <w:numPr>
                <w:ilvl w:val="0"/>
                <w:numId w:val="6"/>
              </w:numPr>
              <w:rPr>
                <w:lang w:val="en-GB"/>
              </w:rPr>
            </w:pPr>
            <w:hyperlink r:id="rId28" w:history="1">
              <w:r w:rsidR="0034169D" w:rsidRPr="0044770D">
                <w:rPr>
                  <w:rStyle w:val="Hyperlink"/>
                  <w:lang w:val="en-GB"/>
                </w:rPr>
                <w:t xml:space="preserve">Convention on the Elimination of all </w:t>
              </w:r>
              <w:r w:rsidR="0034169D">
                <w:rPr>
                  <w:rStyle w:val="Hyperlink"/>
                  <w:lang w:val="en-GB"/>
                </w:rPr>
                <w:t>F</w:t>
              </w:r>
              <w:r w:rsidR="0034169D" w:rsidRPr="0044770D">
                <w:rPr>
                  <w:rStyle w:val="Hyperlink"/>
                  <w:lang w:val="en-GB"/>
                </w:rPr>
                <w:t>orms of Discrimination against Women</w:t>
              </w:r>
            </w:hyperlink>
            <w:r w:rsidR="0034169D" w:rsidRPr="007D1DD3">
              <w:rPr>
                <w:lang w:val="en-GB"/>
              </w:rPr>
              <w:t>;</w:t>
            </w:r>
            <w:r w:rsidR="0034169D">
              <w:rPr>
                <w:lang w:val="en-GB"/>
              </w:rPr>
              <w:t xml:space="preserve"> </w:t>
            </w:r>
            <w:r w:rsidR="00B3495F">
              <w:rPr>
                <w:lang w:val="en-GB"/>
              </w:rPr>
              <w:t>und</w:t>
            </w:r>
          </w:p>
          <w:p w:rsidR="0034169D" w:rsidRPr="007D1DD3" w:rsidRDefault="00B3495F" w:rsidP="006B4B67">
            <w:pPr>
              <w:pStyle w:val="BodyText"/>
              <w:numPr>
                <w:ilvl w:val="0"/>
                <w:numId w:val="6"/>
              </w:numPr>
              <w:rPr>
                <w:lang w:val="en-GB"/>
              </w:rPr>
            </w:pPr>
            <w:r>
              <w:rPr>
                <w:rStyle w:val="Hyperlink"/>
                <w:lang w:val="en-GB"/>
              </w:rPr>
              <w:t xml:space="preserve">die </w:t>
            </w:r>
            <w:r w:rsidR="0034169D" w:rsidRPr="00E26DFE">
              <w:rPr>
                <w:rStyle w:val="Hyperlink"/>
                <w:lang w:val="en-GB"/>
              </w:rPr>
              <w:t>Convention on the Rights of Persons with Disabilities.</w:t>
            </w:r>
          </w:p>
          <w:p w:rsidR="0034169D" w:rsidRPr="00B3495F" w:rsidRDefault="00B3495F" w:rsidP="006B4B67">
            <w:pPr>
              <w:pStyle w:val="BodyText"/>
            </w:pPr>
            <w:r w:rsidRPr="00B3495F">
              <w:t xml:space="preserve">In der Praxis Fokussierung diese Beschwerdemechanismen nur auf zivile und politische Rechte, zu denen Folter und Misshandlung zählen. Das optionale Protokoll etabliert einen individuellen Beschwerdemechanismus für ökonomische, soziale und kulturelle Rechte und wurde 2008 verabschiedet, </w:t>
            </w:r>
            <w:r>
              <w:t xml:space="preserve">ist aber noch nicht in Kraft. </w:t>
            </w:r>
            <w:r w:rsidRPr="00B3495F">
              <w:t>Auch erlaubt die Konvention für die Rechte des Kindes noch keine Beschwerdemechanismen</w:t>
            </w:r>
            <w:r w:rsidR="0034169D" w:rsidRPr="00B3495F">
              <w:t>.</w:t>
            </w:r>
          </w:p>
          <w:p w:rsidR="0034169D" w:rsidRPr="00B3495F" w:rsidRDefault="00B3495F" w:rsidP="006B4B67">
            <w:pPr>
              <w:pStyle w:val="BodyText"/>
            </w:pPr>
            <w:r w:rsidRPr="00B3495F">
              <w:t>Neben dem System dein Vereinten Nationen ermöglichen</w:t>
            </w:r>
            <w:r>
              <w:t xml:space="preserve"> einige der regionalen Organisationen Beschwerdemechanismen</w:t>
            </w:r>
          </w:p>
          <w:p w:rsidR="0034169D" w:rsidRDefault="00B3495F" w:rsidP="002900D7">
            <w:pPr>
              <w:pStyle w:val="BodyText"/>
              <w:numPr>
                <w:ilvl w:val="0"/>
                <w:numId w:val="6"/>
              </w:numPr>
              <w:rPr>
                <w:lang w:val="en-GB"/>
              </w:rPr>
            </w:pPr>
            <w:r>
              <w:rPr>
                <w:lang w:val="en-GB"/>
              </w:rPr>
              <w:t xml:space="preserve">die </w:t>
            </w:r>
            <w:r w:rsidR="0034169D">
              <w:rPr>
                <w:lang w:val="en-GB"/>
              </w:rPr>
              <w:t>European Convention on Human Rights and Fundamental Freedoms;</w:t>
            </w:r>
          </w:p>
          <w:p w:rsidR="0034169D" w:rsidRDefault="00B3495F" w:rsidP="002900D7">
            <w:pPr>
              <w:pStyle w:val="BodyText"/>
              <w:numPr>
                <w:ilvl w:val="0"/>
                <w:numId w:val="6"/>
              </w:numPr>
              <w:rPr>
                <w:lang w:val="en-GB"/>
              </w:rPr>
            </w:pPr>
            <w:r>
              <w:rPr>
                <w:lang w:val="en-GB"/>
              </w:rPr>
              <w:t xml:space="preserve">die </w:t>
            </w:r>
            <w:r w:rsidR="0034169D">
              <w:rPr>
                <w:lang w:val="en-GB"/>
              </w:rPr>
              <w:t>American Convention on Human Rights;</w:t>
            </w:r>
          </w:p>
          <w:p w:rsidR="0034169D" w:rsidRPr="007D1DD3" w:rsidRDefault="00B3495F" w:rsidP="002900D7">
            <w:pPr>
              <w:pStyle w:val="BodyText"/>
              <w:numPr>
                <w:ilvl w:val="0"/>
                <w:numId w:val="6"/>
              </w:numPr>
              <w:rPr>
                <w:lang w:val="en-GB"/>
              </w:rPr>
            </w:pPr>
            <w:r>
              <w:rPr>
                <w:lang w:val="en-GB"/>
              </w:rPr>
              <w:t xml:space="preserve">die </w:t>
            </w:r>
            <w:r w:rsidR="0034169D">
              <w:rPr>
                <w:lang w:val="en-GB"/>
              </w:rPr>
              <w:t>African Charter on Human and People’s Rights.</w:t>
            </w:r>
          </w:p>
        </w:tc>
        <w:tc>
          <w:tcPr>
            <w:tcW w:w="2552" w:type="dxa"/>
          </w:tcPr>
          <w:p w:rsidR="0034169D" w:rsidRDefault="00B3495F" w:rsidP="00EE7B0B">
            <w:pPr>
              <w:pStyle w:val="ListParagraph"/>
              <w:numPr>
                <w:ilvl w:val="0"/>
                <w:numId w:val="8"/>
              </w:numPr>
              <w:spacing w:after="0" w:line="240" w:lineRule="auto"/>
              <w:ind w:left="318" w:hanging="284"/>
              <w:rPr>
                <w:rFonts w:cs="Calibri"/>
                <w:i/>
                <w:sz w:val="20"/>
                <w:szCs w:val="20"/>
                <w:lang w:val="en-US"/>
              </w:rPr>
            </w:pPr>
            <w:r>
              <w:rPr>
                <w:rFonts w:cs="Calibri"/>
                <w:i/>
                <w:sz w:val="20"/>
                <w:szCs w:val="20"/>
                <w:lang w:val="en-US"/>
              </w:rPr>
              <w:t xml:space="preserve">Siehe </w:t>
            </w:r>
            <w:r w:rsidR="0034169D">
              <w:rPr>
                <w:rFonts w:cs="Calibri"/>
                <w:i/>
                <w:sz w:val="20"/>
                <w:szCs w:val="20"/>
                <w:lang w:val="en-US"/>
              </w:rPr>
              <w:t>art. 11 – Art. 16</w:t>
            </w:r>
          </w:p>
          <w:p w:rsidR="0034169D" w:rsidRPr="00EE7B0B" w:rsidRDefault="0034169D" w:rsidP="00EE7B0B">
            <w:pPr>
              <w:spacing w:after="0" w:line="240" w:lineRule="auto"/>
              <w:rPr>
                <w:rFonts w:cs="Calibri"/>
                <w:i/>
                <w:sz w:val="32"/>
                <w:szCs w:val="32"/>
                <w:lang w:val="en-US"/>
              </w:rPr>
            </w:pPr>
          </w:p>
          <w:p w:rsidR="0034169D" w:rsidRPr="00B3495F" w:rsidRDefault="00B3495F" w:rsidP="00EE7B0B">
            <w:pPr>
              <w:pStyle w:val="ListParagraph"/>
              <w:numPr>
                <w:ilvl w:val="0"/>
                <w:numId w:val="8"/>
              </w:numPr>
              <w:spacing w:after="0" w:line="240" w:lineRule="auto"/>
              <w:ind w:left="318" w:hanging="284"/>
              <w:rPr>
                <w:rFonts w:cs="Calibri"/>
                <w:i/>
                <w:sz w:val="20"/>
                <w:szCs w:val="20"/>
              </w:rPr>
            </w:pPr>
            <w:r w:rsidRPr="00B3495F">
              <w:rPr>
                <w:rFonts w:cs="Calibri"/>
                <w:i/>
                <w:sz w:val="20"/>
                <w:szCs w:val="20"/>
              </w:rPr>
              <w:t xml:space="preserve">Für Details siehe der Text des Zusatzprotokolls </w:t>
            </w:r>
          </w:p>
          <w:p w:rsidR="0034169D" w:rsidRDefault="00B3495F" w:rsidP="00EE7B0B">
            <w:pPr>
              <w:pStyle w:val="ListParagraph"/>
              <w:numPr>
                <w:ilvl w:val="0"/>
                <w:numId w:val="8"/>
              </w:numPr>
              <w:spacing w:after="0" w:line="240" w:lineRule="auto"/>
              <w:ind w:left="318" w:hanging="284"/>
              <w:rPr>
                <w:rFonts w:cs="Calibri"/>
                <w:i/>
                <w:sz w:val="20"/>
                <w:szCs w:val="20"/>
                <w:lang w:val="en-US"/>
              </w:rPr>
            </w:pPr>
            <w:r>
              <w:rPr>
                <w:rFonts w:cs="Calibri"/>
                <w:i/>
                <w:sz w:val="20"/>
                <w:szCs w:val="20"/>
                <w:lang w:val="en-US"/>
              </w:rPr>
              <w:t xml:space="preserve">sie </w:t>
            </w:r>
            <w:r w:rsidR="0034169D">
              <w:rPr>
                <w:rFonts w:cs="Calibri"/>
                <w:i/>
                <w:sz w:val="20"/>
                <w:szCs w:val="20"/>
                <w:lang w:val="en-US"/>
              </w:rPr>
              <w:t>Art. 20-23</w:t>
            </w:r>
          </w:p>
          <w:p w:rsidR="0034169D" w:rsidRDefault="0034169D" w:rsidP="00EE7B0B">
            <w:pPr>
              <w:spacing w:after="0" w:line="240" w:lineRule="auto"/>
              <w:rPr>
                <w:rFonts w:cs="Calibri"/>
                <w:i/>
                <w:sz w:val="20"/>
                <w:szCs w:val="20"/>
                <w:lang w:val="en-US"/>
              </w:rPr>
            </w:pPr>
          </w:p>
          <w:p w:rsidR="0034169D" w:rsidRDefault="0034169D" w:rsidP="00EE7B0B">
            <w:pPr>
              <w:spacing w:after="0" w:line="240" w:lineRule="auto"/>
              <w:rPr>
                <w:rFonts w:cs="Calibri"/>
                <w:i/>
                <w:sz w:val="20"/>
                <w:szCs w:val="20"/>
                <w:lang w:val="en-US"/>
              </w:rPr>
            </w:pPr>
          </w:p>
          <w:p w:rsidR="0034169D" w:rsidRDefault="0034169D" w:rsidP="00EE7B0B">
            <w:pPr>
              <w:spacing w:after="0" w:line="240" w:lineRule="auto"/>
              <w:rPr>
                <w:rFonts w:cs="Calibri"/>
                <w:i/>
                <w:sz w:val="20"/>
                <w:szCs w:val="20"/>
                <w:lang w:val="en-US"/>
              </w:rPr>
            </w:pPr>
          </w:p>
          <w:p w:rsidR="0034169D" w:rsidRDefault="0034169D" w:rsidP="00EE7B0B">
            <w:pPr>
              <w:spacing w:after="0" w:line="240" w:lineRule="auto"/>
              <w:rPr>
                <w:rFonts w:cs="Calibri"/>
                <w:i/>
                <w:sz w:val="20"/>
                <w:szCs w:val="20"/>
                <w:lang w:val="en-US"/>
              </w:rPr>
            </w:pPr>
          </w:p>
          <w:p w:rsidR="0034169D" w:rsidRDefault="0034169D" w:rsidP="00EE7B0B">
            <w:pPr>
              <w:spacing w:after="0" w:line="240" w:lineRule="auto"/>
              <w:rPr>
                <w:rFonts w:cs="Calibri"/>
                <w:i/>
                <w:sz w:val="20"/>
                <w:szCs w:val="20"/>
                <w:lang w:val="en-US"/>
              </w:rPr>
            </w:pPr>
          </w:p>
          <w:p w:rsidR="0034169D" w:rsidRDefault="0034169D" w:rsidP="00EE7B0B">
            <w:pPr>
              <w:spacing w:after="0" w:line="240" w:lineRule="auto"/>
              <w:rPr>
                <w:rFonts w:cs="Calibri"/>
                <w:i/>
                <w:sz w:val="20"/>
                <w:szCs w:val="20"/>
                <w:lang w:val="en-US"/>
              </w:rPr>
            </w:pPr>
          </w:p>
          <w:p w:rsidR="0034169D" w:rsidRDefault="0034169D" w:rsidP="00EE7B0B">
            <w:pPr>
              <w:spacing w:after="0" w:line="240" w:lineRule="auto"/>
              <w:rPr>
                <w:rFonts w:cs="Calibri"/>
                <w:i/>
                <w:sz w:val="20"/>
                <w:szCs w:val="20"/>
                <w:lang w:val="en-US"/>
              </w:rPr>
            </w:pPr>
          </w:p>
          <w:p w:rsidR="0034169D" w:rsidRDefault="0034169D" w:rsidP="00EE7B0B">
            <w:pPr>
              <w:spacing w:after="0" w:line="240" w:lineRule="auto"/>
              <w:rPr>
                <w:rFonts w:cs="Calibri"/>
                <w:i/>
                <w:sz w:val="20"/>
                <w:szCs w:val="20"/>
                <w:lang w:val="en-US"/>
              </w:rPr>
            </w:pPr>
          </w:p>
          <w:p w:rsidR="0034169D" w:rsidRDefault="0034169D" w:rsidP="00EE7B0B">
            <w:pPr>
              <w:spacing w:after="0" w:line="240" w:lineRule="auto"/>
              <w:rPr>
                <w:rFonts w:cs="Calibri"/>
                <w:i/>
                <w:sz w:val="20"/>
                <w:szCs w:val="20"/>
                <w:lang w:val="en-US"/>
              </w:rPr>
            </w:pPr>
          </w:p>
          <w:p w:rsidR="0034169D" w:rsidRDefault="0034169D" w:rsidP="00EE7B0B">
            <w:pPr>
              <w:spacing w:after="0" w:line="240" w:lineRule="auto"/>
              <w:rPr>
                <w:rFonts w:cs="Calibri"/>
                <w:i/>
                <w:sz w:val="20"/>
                <w:szCs w:val="20"/>
                <w:lang w:val="en-US"/>
              </w:rPr>
            </w:pPr>
          </w:p>
          <w:p w:rsidR="0034169D" w:rsidRDefault="0034169D" w:rsidP="00EE7B0B">
            <w:pPr>
              <w:spacing w:after="0" w:line="240" w:lineRule="auto"/>
              <w:rPr>
                <w:rFonts w:cs="Calibri"/>
                <w:i/>
                <w:sz w:val="20"/>
                <w:szCs w:val="20"/>
                <w:lang w:val="en-US"/>
              </w:rPr>
            </w:pPr>
          </w:p>
          <w:p w:rsidR="0034169D" w:rsidRDefault="0034169D" w:rsidP="00EE7B0B">
            <w:pPr>
              <w:spacing w:after="0" w:line="240" w:lineRule="auto"/>
              <w:rPr>
                <w:rFonts w:cs="Calibri"/>
                <w:i/>
                <w:sz w:val="20"/>
                <w:szCs w:val="20"/>
                <w:lang w:val="en-US"/>
              </w:rPr>
            </w:pPr>
          </w:p>
          <w:p w:rsidR="0034169D" w:rsidRDefault="0034169D" w:rsidP="00642339">
            <w:pPr>
              <w:pStyle w:val="ListParagraph"/>
              <w:numPr>
                <w:ilvl w:val="0"/>
                <w:numId w:val="8"/>
              </w:numPr>
              <w:spacing w:after="0" w:line="240" w:lineRule="auto"/>
              <w:ind w:left="318" w:hanging="284"/>
              <w:rPr>
                <w:rFonts w:cs="Calibri"/>
                <w:i/>
                <w:sz w:val="20"/>
                <w:szCs w:val="20"/>
                <w:lang w:val="en-US"/>
              </w:rPr>
            </w:pPr>
            <w:r>
              <w:rPr>
                <w:rFonts w:cs="Calibri"/>
                <w:i/>
                <w:sz w:val="20"/>
                <w:szCs w:val="20"/>
                <w:lang w:val="en-US"/>
              </w:rPr>
              <w:t>Art. 34</w:t>
            </w:r>
          </w:p>
          <w:p w:rsidR="0034169D" w:rsidRDefault="0034169D" w:rsidP="00642339">
            <w:pPr>
              <w:pStyle w:val="ListParagraph"/>
              <w:spacing w:after="0" w:line="240" w:lineRule="auto"/>
              <w:ind w:left="34"/>
              <w:rPr>
                <w:rFonts w:cs="Calibri"/>
                <w:i/>
                <w:sz w:val="20"/>
                <w:szCs w:val="20"/>
                <w:lang w:val="en-US"/>
              </w:rPr>
            </w:pPr>
          </w:p>
          <w:p w:rsidR="0034169D" w:rsidRDefault="0034169D" w:rsidP="00642339">
            <w:pPr>
              <w:pStyle w:val="ListParagraph"/>
              <w:spacing w:after="0" w:line="240" w:lineRule="auto"/>
              <w:ind w:left="34"/>
              <w:rPr>
                <w:rFonts w:cs="Calibri"/>
                <w:i/>
                <w:sz w:val="20"/>
                <w:szCs w:val="20"/>
                <w:lang w:val="en-US"/>
              </w:rPr>
            </w:pPr>
          </w:p>
          <w:p w:rsidR="0034169D" w:rsidRDefault="0034169D" w:rsidP="00642339">
            <w:pPr>
              <w:pStyle w:val="ListParagraph"/>
              <w:numPr>
                <w:ilvl w:val="0"/>
                <w:numId w:val="8"/>
              </w:numPr>
              <w:spacing w:after="0" w:line="240" w:lineRule="auto"/>
              <w:ind w:left="318" w:hanging="284"/>
              <w:rPr>
                <w:rFonts w:cs="Calibri"/>
                <w:i/>
                <w:sz w:val="20"/>
                <w:szCs w:val="20"/>
                <w:lang w:val="en-US"/>
              </w:rPr>
            </w:pPr>
            <w:r>
              <w:rPr>
                <w:rFonts w:cs="Calibri"/>
                <w:i/>
                <w:sz w:val="20"/>
                <w:szCs w:val="20"/>
                <w:lang w:val="en-US"/>
              </w:rPr>
              <w:t>Art. 44</w:t>
            </w:r>
          </w:p>
          <w:p w:rsidR="0034169D" w:rsidRDefault="0034169D" w:rsidP="00642339">
            <w:pPr>
              <w:pStyle w:val="ListParagraph"/>
              <w:spacing w:after="0" w:line="240" w:lineRule="auto"/>
              <w:ind w:left="34"/>
              <w:rPr>
                <w:rFonts w:cs="Calibri"/>
                <w:i/>
                <w:sz w:val="20"/>
                <w:szCs w:val="20"/>
                <w:lang w:val="en-US"/>
              </w:rPr>
            </w:pPr>
          </w:p>
          <w:p w:rsidR="0034169D" w:rsidRDefault="0034169D" w:rsidP="00642339">
            <w:pPr>
              <w:pStyle w:val="ListParagraph"/>
              <w:numPr>
                <w:ilvl w:val="0"/>
                <w:numId w:val="8"/>
              </w:numPr>
              <w:spacing w:after="0" w:line="240" w:lineRule="auto"/>
              <w:ind w:left="318" w:hanging="284"/>
              <w:rPr>
                <w:rFonts w:cs="Calibri"/>
                <w:i/>
                <w:sz w:val="20"/>
                <w:szCs w:val="20"/>
                <w:lang w:val="en-US"/>
              </w:rPr>
            </w:pPr>
            <w:r>
              <w:rPr>
                <w:rFonts w:cs="Calibri"/>
                <w:i/>
                <w:sz w:val="20"/>
                <w:szCs w:val="20"/>
                <w:lang w:val="en-US"/>
              </w:rPr>
              <w:t>Art. 55</w:t>
            </w:r>
          </w:p>
          <w:p w:rsidR="0034169D" w:rsidRPr="00EE7B0B" w:rsidRDefault="0034169D" w:rsidP="00EE7B0B">
            <w:pPr>
              <w:spacing w:after="0" w:line="240" w:lineRule="auto"/>
              <w:rPr>
                <w:rFonts w:cs="Calibri"/>
                <w:i/>
                <w:sz w:val="20"/>
                <w:szCs w:val="20"/>
                <w:lang w:val="en-US"/>
              </w:rPr>
            </w:pPr>
          </w:p>
        </w:tc>
      </w:tr>
      <w:tr w:rsidR="0034169D" w:rsidRPr="004644C5" w:rsidTr="006B4B67">
        <w:tc>
          <w:tcPr>
            <w:tcW w:w="7337" w:type="dxa"/>
          </w:tcPr>
          <w:p w:rsidR="0034169D" w:rsidRPr="00B3495F" w:rsidRDefault="00B3495F" w:rsidP="007D1DD3">
            <w:pPr>
              <w:pStyle w:val="BodyText"/>
            </w:pPr>
            <w:r w:rsidRPr="00B3495F">
              <w:t>Im</w:t>
            </w:r>
            <w:r w:rsidRPr="00B3495F">
              <w:rPr>
                <w:lang w:val="el-GR"/>
              </w:rPr>
              <w:t xml:space="preserve"> </w:t>
            </w:r>
            <w:r w:rsidRPr="00B3495F">
              <w:t>Gegensatz</w:t>
            </w:r>
            <w:r w:rsidRPr="00B3495F">
              <w:rPr>
                <w:lang w:val="el-GR"/>
              </w:rPr>
              <w:t xml:space="preserve"> </w:t>
            </w:r>
            <w:r w:rsidRPr="00B3495F">
              <w:t>zu</w:t>
            </w:r>
            <w:r w:rsidRPr="00B3495F">
              <w:rPr>
                <w:lang w:val="el-GR"/>
              </w:rPr>
              <w:t xml:space="preserve"> </w:t>
            </w:r>
            <w:r w:rsidRPr="00B3495F">
              <w:t>Berichtsmechanismen</w:t>
            </w:r>
            <w:r w:rsidRPr="00B3495F">
              <w:rPr>
                <w:lang w:val="el-GR"/>
              </w:rPr>
              <w:t xml:space="preserve"> </w:t>
            </w:r>
            <w:r w:rsidRPr="00B3495F">
              <w:t>bleiben</w:t>
            </w:r>
            <w:r w:rsidRPr="00B3495F">
              <w:rPr>
                <w:lang w:val="el-GR"/>
              </w:rPr>
              <w:t xml:space="preserve"> </w:t>
            </w:r>
            <w:r w:rsidRPr="00B3495F">
              <w:t>Beschwerdemechanismen</w:t>
            </w:r>
            <w:r w:rsidRPr="00B3495F">
              <w:rPr>
                <w:lang w:val="el-GR"/>
              </w:rPr>
              <w:t xml:space="preserve"> </w:t>
            </w:r>
            <w:r w:rsidRPr="00B3495F">
              <w:t xml:space="preserve">im internationalen Kampf gegen Menschenrechtsverletzungen eine Ausnahme. Einer der Gründe ist das sie meistens optional sind, was bedeutet das die ausdrückliche Anerkennung </w:t>
            </w:r>
            <w:r>
              <w:t xml:space="preserve">durch den Staat erforderlich ist (beispielsweise eine spezielle Erklärung oder sogar Ratifizierung). </w:t>
            </w:r>
            <w:r w:rsidRPr="00B3495F">
              <w:t xml:space="preserve">Eine wichtige Ausnahme ist der individuelle Beschwerdemechanismus im Rahmen der Europäischen Konvention, die nicht länger eine </w:t>
            </w:r>
            <w:r>
              <w:t>optionale Komponente, aber ein verpflichtender Bestandteil der Konvention für alle Vertragsparteien ist</w:t>
            </w:r>
            <w:r w:rsidR="0034169D" w:rsidRPr="00B3495F">
              <w:t>.</w:t>
            </w:r>
          </w:p>
          <w:p w:rsidR="0034169D" w:rsidRPr="00AB763B" w:rsidRDefault="00B3495F" w:rsidP="007D1DD3">
            <w:pPr>
              <w:pStyle w:val="BodyText"/>
            </w:pPr>
            <w:r w:rsidRPr="00B3495F">
              <w:t>Im Fall optionaler Beschwerdemechanismen, ist es klar, dass Staaten das Recht behalten, sie nicht anzunehmen und so Individuen oder Gruppen</w:t>
            </w:r>
            <w:r>
              <w:t xml:space="preserve"> den Zugang zu </w:t>
            </w:r>
            <w:r w:rsidRPr="00B3495F">
              <w:t>Beschwerdemechanismen bei Beobachtungs Einrichtungen</w:t>
            </w:r>
            <w:r>
              <w:t xml:space="preserve"> unmöglich zu machen. </w:t>
            </w:r>
            <w:r w:rsidRPr="00B3495F">
              <w:t>Eine weitere Schwäche der individuellen Beschwerdemechanismen ist, dass sie sehr lange brauchen</w:t>
            </w:r>
            <w:r>
              <w:t xml:space="preserve"> bevor sie zu einer Entscheidung oder zu einem Urteil führen</w:t>
            </w:r>
            <w:r w:rsidR="0034169D" w:rsidRPr="00B3495F">
              <w:t xml:space="preserve">. </w:t>
            </w:r>
            <w:r w:rsidRPr="00AB763B">
              <w:t xml:space="preserve">Abläufe brauchen 3-5 Jahre, zusätzlich zu den langen nationalen </w:t>
            </w:r>
            <w:r w:rsidRPr="00AB763B">
              <w:lastRenderedPageBreak/>
              <w:t>Abläufen</w:t>
            </w:r>
            <w:r w:rsidR="0034169D" w:rsidRPr="00AB763B">
              <w:t>.</w:t>
            </w:r>
          </w:p>
          <w:p w:rsidR="0034169D" w:rsidRPr="005E2A25" w:rsidRDefault="005E2A25" w:rsidP="005E2A25">
            <w:pPr>
              <w:pStyle w:val="BodyText"/>
            </w:pPr>
            <w:r w:rsidRPr="005E2A25">
              <w:t xml:space="preserve">Es sollte jedoch klar sein das Beschwerdemechanismen insbesonders diejenigen die es Individuen erlauben klagen vor eine internationale Körperschaft zu bringen, in sehr spezifischen Entscheidungen ändern die weit reichende Konsequenzen </w:t>
            </w:r>
            <w:r>
              <w:t xml:space="preserve">für die Menschenrechtssituation in den Ländern haben können. </w:t>
            </w:r>
            <w:r w:rsidRPr="005E2A25">
              <w:t>Die Urteile des Europäischen Menschenrechtsgerichtshofs und des interamerikanischen Menschenrechtsgerichtshofs werden von Juristen und Verteidiger der Menschenrechte auf der ganzen Welt mit Aufmerksamkeit gelesen</w:t>
            </w:r>
            <w:r w:rsidR="0034169D" w:rsidRPr="005E2A25">
              <w:t>.</w:t>
            </w:r>
          </w:p>
        </w:tc>
        <w:tc>
          <w:tcPr>
            <w:tcW w:w="2552" w:type="dxa"/>
          </w:tcPr>
          <w:p w:rsidR="0034169D" w:rsidRPr="005E2A25" w:rsidRDefault="0034169D" w:rsidP="006B4B67">
            <w:pPr>
              <w:pStyle w:val="ListParagraph"/>
              <w:spacing w:after="0" w:line="240" w:lineRule="auto"/>
              <w:ind w:left="313"/>
              <w:rPr>
                <w:rFonts w:cs="Calibri"/>
                <w:i/>
                <w:sz w:val="20"/>
                <w:szCs w:val="20"/>
              </w:rPr>
            </w:pPr>
          </w:p>
        </w:tc>
      </w:tr>
      <w:tr w:rsidR="0034169D" w:rsidRPr="002A3956" w:rsidTr="006B4B67">
        <w:tc>
          <w:tcPr>
            <w:tcW w:w="7337" w:type="dxa"/>
          </w:tcPr>
          <w:p w:rsidR="0034169D" w:rsidRPr="00C702EA" w:rsidRDefault="0034169D" w:rsidP="005E2A25">
            <w:pPr>
              <w:pStyle w:val="Heading2"/>
              <w:rPr>
                <w:lang w:val="en-US"/>
              </w:rPr>
            </w:pPr>
            <w:bookmarkStart w:id="9" w:name="_Toc357626644"/>
            <w:r w:rsidRPr="00C702EA">
              <w:rPr>
                <w:lang w:val="en-US"/>
              </w:rPr>
              <w:lastRenderedPageBreak/>
              <w:t xml:space="preserve">3.3 </w:t>
            </w:r>
            <w:r w:rsidR="005E2A25">
              <w:rPr>
                <w:lang w:val="en-US"/>
              </w:rPr>
              <w:t>Untersuchungsmechanismen</w:t>
            </w:r>
            <w:bookmarkEnd w:id="9"/>
          </w:p>
        </w:tc>
        <w:tc>
          <w:tcPr>
            <w:tcW w:w="2552" w:type="dxa"/>
          </w:tcPr>
          <w:p w:rsidR="0034169D" w:rsidRPr="004D67C9" w:rsidRDefault="0034169D" w:rsidP="006B4B67">
            <w:pPr>
              <w:pStyle w:val="ListParagraph"/>
              <w:spacing w:after="0" w:line="240" w:lineRule="auto"/>
              <w:ind w:left="313"/>
              <w:rPr>
                <w:rFonts w:cs="Calibri"/>
                <w:i/>
                <w:sz w:val="20"/>
                <w:szCs w:val="20"/>
                <w:lang w:val="en-US"/>
              </w:rPr>
            </w:pPr>
          </w:p>
        </w:tc>
      </w:tr>
      <w:tr w:rsidR="0034169D" w:rsidRPr="004644C5" w:rsidTr="006B4B67">
        <w:tc>
          <w:tcPr>
            <w:tcW w:w="7337" w:type="dxa"/>
          </w:tcPr>
          <w:p w:rsidR="0034169D" w:rsidRPr="00AB763B" w:rsidRDefault="005E2A25">
            <w:pPr>
              <w:spacing w:line="240" w:lineRule="auto"/>
              <w:rPr>
                <w:lang w:val="de-DE"/>
              </w:rPr>
            </w:pPr>
            <w:r w:rsidRPr="005E2A25">
              <w:rPr>
                <w:lang w:val="de-DE"/>
              </w:rPr>
              <w:t>Eine</w:t>
            </w:r>
            <w:r w:rsidRPr="005E2A25">
              <w:t xml:space="preserve"> </w:t>
            </w:r>
            <w:r w:rsidRPr="005E2A25">
              <w:rPr>
                <w:lang w:val="de-DE"/>
              </w:rPr>
              <w:t>dritte</w:t>
            </w:r>
            <w:r w:rsidRPr="005E2A25">
              <w:t xml:space="preserve"> </w:t>
            </w:r>
            <w:r w:rsidRPr="005E2A25">
              <w:rPr>
                <w:lang w:val="de-DE"/>
              </w:rPr>
              <w:t>Form</w:t>
            </w:r>
            <w:r w:rsidRPr="005E2A25">
              <w:t xml:space="preserve"> </w:t>
            </w:r>
            <w:r w:rsidRPr="005E2A25">
              <w:rPr>
                <w:lang w:val="de-DE"/>
              </w:rPr>
              <w:t>der</w:t>
            </w:r>
            <w:r w:rsidRPr="005E2A25">
              <w:t xml:space="preserve"> </w:t>
            </w:r>
            <w:r w:rsidRPr="005E2A25">
              <w:rPr>
                <w:lang w:val="de-DE"/>
              </w:rPr>
              <w:t>internationalen</w:t>
            </w:r>
            <w:r w:rsidRPr="005E2A25">
              <w:t xml:space="preserve"> </w:t>
            </w:r>
            <w:r w:rsidRPr="005E2A25">
              <w:rPr>
                <w:lang w:val="de-DE"/>
              </w:rPr>
              <w:t>Beobachtungsmechanismen</w:t>
            </w:r>
            <w:r w:rsidRPr="005E2A25">
              <w:t xml:space="preserve"> </w:t>
            </w:r>
            <w:r w:rsidRPr="005E2A25">
              <w:rPr>
                <w:lang w:val="de-DE"/>
              </w:rPr>
              <w:t xml:space="preserve">kann unter dem Begriff" </w:t>
            </w:r>
            <w:r>
              <w:t>Untersuchungs</w:t>
            </w:r>
            <w:r w:rsidRPr="005E2A25">
              <w:rPr>
                <w:lang w:val="de-DE"/>
              </w:rPr>
              <w:t>m</w:t>
            </w:r>
            <w:r>
              <w:t>echanismen" zusammengefasst werden</w:t>
            </w:r>
            <w:r w:rsidRPr="005E2A25">
              <w:rPr>
                <w:lang w:val="de-DE"/>
              </w:rPr>
              <w:t>. Beim engeren Sinne bezieht sich dieser Begriff nur auf eine ganze Anzahl von Komitees (Vertragseinrichtungen) die die Möglichkeit haben</w:t>
            </w:r>
            <w:r>
              <w:rPr>
                <w:lang w:val="de-DE"/>
              </w:rPr>
              <w:t xml:space="preserve"> Vertragsstaaten zu besuchen, in denen Hinweise auf schwerwiegende Verletzungen des Vertrags bestehen. </w:t>
            </w:r>
            <w:r w:rsidRPr="005E2A25">
              <w:rPr>
                <w:lang w:val="de-DE"/>
              </w:rPr>
              <w:t>Insbesonders das Anti Folter Komitee und das Komitee zur Beseitigung von Diskriminierungsaktionen von Frauen der Vereinten Nationen</w:t>
            </w:r>
            <w:r>
              <w:rPr>
                <w:lang w:val="de-DE"/>
              </w:rPr>
              <w:t xml:space="preserve"> können </w:t>
            </w:r>
            <w:r w:rsidRPr="005E2A25">
              <w:rPr>
                <w:lang w:val="de-DE"/>
              </w:rPr>
              <w:t>auf eigene Initiative</w:t>
            </w:r>
            <w:r>
              <w:rPr>
                <w:lang w:val="de-DE"/>
              </w:rPr>
              <w:t xml:space="preserve"> Untersuchungen einleiten wenn Sie Informationen über ernsthafte oder systematische Verletzungen erhalten haben</w:t>
            </w:r>
            <w:r w:rsidR="0034169D" w:rsidRPr="005E2A25">
              <w:rPr>
                <w:lang w:val="de-DE"/>
              </w:rPr>
              <w:t xml:space="preserve">, </w:t>
            </w:r>
            <w:r w:rsidR="006D69D1">
              <w:rPr>
                <w:lang w:val="de-DE"/>
              </w:rPr>
              <w:t xml:space="preserve">diese Möglichkeit besteht nur bei einer begrenzten Anzahl von Komitees (Vertragseinrichtungen) wie die Möglichkeit haben Vertragsparteien zu besuchen wenn es Hinweise auf schwerwiegende Vertragsverletzung gibt. </w:t>
            </w:r>
            <w:r w:rsidR="006D69D1" w:rsidRPr="00AB763B">
              <w:rPr>
                <w:lang w:val="de-DE"/>
              </w:rPr>
              <w:t>Das gleiche gilt für das europäische Anti Folter Komitee, einem zu provisorischen Mechanismus innerhalb des Europarates</w:t>
            </w:r>
            <w:r w:rsidR="0034169D" w:rsidRPr="00AB763B">
              <w:rPr>
                <w:lang w:val="de-DE"/>
              </w:rPr>
              <w:t xml:space="preserve"> </w:t>
            </w:r>
          </w:p>
          <w:p w:rsidR="0034169D" w:rsidRPr="006D69D1" w:rsidRDefault="006D69D1" w:rsidP="006D69D1">
            <w:pPr>
              <w:spacing w:line="240" w:lineRule="auto"/>
              <w:rPr>
                <w:lang w:val="de-DE"/>
              </w:rPr>
            </w:pPr>
            <w:r w:rsidRPr="006D69D1">
              <w:rPr>
                <w:lang w:val="de-DE"/>
              </w:rPr>
              <w:t xml:space="preserve">wichtiger ist jedoch, dass es so genannte besondere Mechanismen gibt, die auch als Untersuchungsmechanismen gesehen werden können. Einige dieser Mechanismen konzentrieren sich auf verschiedene Formen von Menschenrechtsverletzungen in einem bestimmten Land </w:t>
            </w:r>
            <w:r>
              <w:rPr>
                <w:lang w:val="de-DE"/>
              </w:rPr>
              <w:t xml:space="preserve">(landesspezifische Mechanismen), andere konzentrieren sich auf bestimmte Arten von Menschenrechtsverletzungen weltweit (thematische Mechanismen) einige Mechanismen sind öffentlich, andere vertraulich. </w:t>
            </w:r>
            <w:r w:rsidRPr="006D69D1">
              <w:rPr>
                <w:lang w:val="de-DE"/>
              </w:rPr>
              <w:t xml:space="preserve">Es gibt sogar Unterschiede in der Struktur man kann </w:t>
            </w:r>
            <w:r>
              <w:rPr>
                <w:lang w:val="de-DE"/>
              </w:rPr>
              <w:t xml:space="preserve">Arbeitsgruppen, Sonderberichterstatter, Sonderbeauftragte, und unabhängige Experten unterscheiden. </w:t>
            </w:r>
            <w:r w:rsidRPr="006D69D1">
              <w:rPr>
                <w:lang w:val="de-DE"/>
              </w:rPr>
              <w:t xml:space="preserve">Obwohl viele Unterschiede innerhalb dieser Abläufe bestehen haben sie alle eines gemeinsam </w:t>
            </w:r>
            <w:r>
              <w:rPr>
                <w:lang w:val="de-DE"/>
              </w:rPr>
              <w:t xml:space="preserve">Ziel zielen auf rasche Reaktionen (durch Telefon, Fax, E-Mail oder unerwartete Besuche auf dringende Probleme im Rahmen von Menschenrechtsverletzungen ab, und Sie können in einigen Fällen einen voraus greifenden Ansatz in der Prävention von Folter und Misshandlung darstellen. </w:t>
            </w:r>
            <w:r w:rsidRPr="006D69D1">
              <w:rPr>
                <w:lang w:val="de-DE"/>
              </w:rPr>
              <w:t>Im Bereich von Folter und Misshandlung kann die wichtige Rolle des Sonderberichterstatter der Vereinten Nationen zur Folter nicht überschätzt werden</w:t>
            </w:r>
            <w:r w:rsidR="0034169D" w:rsidRPr="006D69D1">
              <w:rPr>
                <w:lang w:val="de-DE"/>
              </w:rPr>
              <w:t>.</w:t>
            </w:r>
          </w:p>
        </w:tc>
        <w:tc>
          <w:tcPr>
            <w:tcW w:w="2552" w:type="dxa"/>
          </w:tcPr>
          <w:p w:rsidR="0034169D" w:rsidRPr="006D69D1" w:rsidRDefault="0034169D" w:rsidP="006B4B67">
            <w:pPr>
              <w:spacing w:after="0" w:line="240" w:lineRule="auto"/>
              <w:rPr>
                <w:rFonts w:cs="Calibri"/>
                <w:i/>
                <w:sz w:val="20"/>
                <w:szCs w:val="20"/>
                <w:lang w:val="de-DE"/>
              </w:rPr>
            </w:pPr>
          </w:p>
          <w:p w:rsidR="0034169D" w:rsidRPr="006D69D1" w:rsidRDefault="0034169D" w:rsidP="006B4B67">
            <w:pPr>
              <w:pStyle w:val="ListParagraph"/>
              <w:spacing w:after="0" w:line="240" w:lineRule="auto"/>
              <w:ind w:left="403"/>
              <w:rPr>
                <w:rFonts w:cs="Calibri"/>
                <w:i/>
                <w:sz w:val="20"/>
                <w:szCs w:val="20"/>
              </w:rPr>
            </w:pPr>
          </w:p>
          <w:p w:rsidR="0034169D" w:rsidRPr="006D69D1" w:rsidRDefault="0034169D" w:rsidP="006B4B67">
            <w:pPr>
              <w:pStyle w:val="ListParagraph"/>
              <w:spacing w:after="0" w:line="240" w:lineRule="auto"/>
              <w:ind w:left="403"/>
              <w:rPr>
                <w:rFonts w:cs="Calibri"/>
                <w:i/>
                <w:sz w:val="20"/>
                <w:szCs w:val="20"/>
              </w:rPr>
            </w:pPr>
          </w:p>
          <w:p w:rsidR="0034169D" w:rsidRPr="006D69D1" w:rsidRDefault="0034169D" w:rsidP="006B4B67">
            <w:pPr>
              <w:pStyle w:val="ListParagraph"/>
              <w:spacing w:after="0" w:line="240" w:lineRule="auto"/>
              <w:ind w:left="403"/>
              <w:rPr>
                <w:rFonts w:cs="Calibri"/>
                <w:i/>
                <w:sz w:val="20"/>
                <w:szCs w:val="20"/>
              </w:rPr>
            </w:pPr>
          </w:p>
          <w:p w:rsidR="0034169D" w:rsidRPr="006D69D1" w:rsidRDefault="0034169D" w:rsidP="006B4B67">
            <w:pPr>
              <w:pStyle w:val="ListParagraph"/>
              <w:spacing w:after="0" w:line="240" w:lineRule="auto"/>
              <w:ind w:left="403"/>
              <w:rPr>
                <w:rFonts w:cs="Calibri"/>
                <w:i/>
                <w:sz w:val="20"/>
                <w:szCs w:val="20"/>
              </w:rPr>
            </w:pPr>
          </w:p>
          <w:p w:rsidR="0034169D" w:rsidRPr="006D69D1" w:rsidRDefault="0034169D" w:rsidP="006B4B67">
            <w:pPr>
              <w:pStyle w:val="ListParagraph"/>
              <w:spacing w:after="0" w:line="240" w:lineRule="auto"/>
              <w:ind w:left="403"/>
              <w:rPr>
                <w:rFonts w:cs="Calibri"/>
                <w:i/>
                <w:sz w:val="20"/>
                <w:szCs w:val="20"/>
              </w:rPr>
            </w:pPr>
          </w:p>
          <w:p w:rsidR="0034169D" w:rsidRPr="006D69D1" w:rsidRDefault="0034169D" w:rsidP="006B4B67">
            <w:pPr>
              <w:pStyle w:val="ListParagraph"/>
              <w:spacing w:after="0" w:line="240" w:lineRule="auto"/>
              <w:ind w:left="403"/>
              <w:rPr>
                <w:rFonts w:cs="Calibri"/>
                <w:i/>
                <w:sz w:val="20"/>
                <w:szCs w:val="20"/>
              </w:rPr>
            </w:pPr>
          </w:p>
          <w:p w:rsidR="0034169D" w:rsidRPr="006D69D1" w:rsidRDefault="0034169D" w:rsidP="006B4B67">
            <w:pPr>
              <w:pStyle w:val="ListParagraph"/>
              <w:spacing w:after="0" w:line="240" w:lineRule="auto"/>
              <w:ind w:left="403"/>
              <w:rPr>
                <w:rFonts w:cs="Calibri"/>
                <w:i/>
                <w:sz w:val="20"/>
                <w:szCs w:val="20"/>
              </w:rPr>
            </w:pPr>
          </w:p>
        </w:tc>
      </w:tr>
      <w:tr w:rsidR="0034169D" w:rsidRPr="004644C5" w:rsidTr="006B4B67">
        <w:tc>
          <w:tcPr>
            <w:tcW w:w="7337" w:type="dxa"/>
          </w:tcPr>
          <w:p w:rsidR="0034169D" w:rsidRPr="00B3460F" w:rsidRDefault="006D69D1">
            <w:pPr>
              <w:pStyle w:val="BodyText"/>
            </w:pPr>
            <w:r w:rsidRPr="00B3460F">
              <w:t>Besonders</w:t>
            </w:r>
            <w:r w:rsidRPr="006D69D1">
              <w:rPr>
                <w:lang w:val="el-GR"/>
              </w:rPr>
              <w:t xml:space="preserve"> </w:t>
            </w:r>
            <w:r w:rsidRPr="00B3460F">
              <w:t>die</w:t>
            </w:r>
            <w:r w:rsidRPr="006D69D1">
              <w:rPr>
                <w:lang w:val="el-GR"/>
              </w:rPr>
              <w:t xml:space="preserve"> </w:t>
            </w:r>
            <w:r w:rsidRPr="00B3460F">
              <w:t>Flexibilit</w:t>
            </w:r>
            <w:r w:rsidRPr="006D69D1">
              <w:rPr>
                <w:lang w:val="el-GR"/>
              </w:rPr>
              <w:t>ä</w:t>
            </w:r>
            <w:r w:rsidRPr="00B3460F">
              <w:t>t</w:t>
            </w:r>
            <w:r w:rsidRPr="006D69D1">
              <w:rPr>
                <w:lang w:val="el-GR"/>
              </w:rPr>
              <w:t xml:space="preserve"> </w:t>
            </w:r>
            <w:r w:rsidRPr="00B3460F">
              <w:t>ihrer</w:t>
            </w:r>
            <w:r w:rsidRPr="006D69D1">
              <w:rPr>
                <w:lang w:val="el-GR"/>
              </w:rPr>
              <w:t xml:space="preserve"> </w:t>
            </w:r>
            <w:r w:rsidRPr="00B3460F">
              <w:t>Mandate</w:t>
            </w:r>
            <w:r w:rsidRPr="006D69D1">
              <w:rPr>
                <w:lang w:val="el-GR"/>
              </w:rPr>
              <w:t xml:space="preserve"> </w:t>
            </w:r>
            <w:r w:rsidRPr="00B3460F">
              <w:t>und</w:t>
            </w:r>
            <w:r w:rsidRPr="006D69D1">
              <w:rPr>
                <w:lang w:val="el-GR"/>
              </w:rPr>
              <w:t xml:space="preserve"> </w:t>
            </w:r>
            <w:r w:rsidRPr="00B3460F">
              <w:t>Arbeitsabl</w:t>
            </w:r>
            <w:r w:rsidRPr="006D69D1">
              <w:rPr>
                <w:lang w:val="el-GR"/>
              </w:rPr>
              <w:t>ä</w:t>
            </w:r>
            <w:r w:rsidRPr="00B3460F">
              <w:t>ufe</w:t>
            </w:r>
            <w:r w:rsidRPr="006D69D1">
              <w:rPr>
                <w:lang w:val="el-GR"/>
              </w:rPr>
              <w:t xml:space="preserve"> </w:t>
            </w:r>
            <w:r w:rsidRPr="00B3460F">
              <w:t>stellen</w:t>
            </w:r>
            <w:r w:rsidRPr="006D69D1">
              <w:rPr>
                <w:lang w:val="el-GR"/>
              </w:rPr>
              <w:t xml:space="preserve"> </w:t>
            </w:r>
            <w:r w:rsidRPr="00B3460F">
              <w:t>eine</w:t>
            </w:r>
            <w:r w:rsidRPr="006D69D1">
              <w:rPr>
                <w:lang w:val="el-GR"/>
              </w:rPr>
              <w:t xml:space="preserve"> </w:t>
            </w:r>
            <w:r w:rsidRPr="00B3460F">
              <w:t>haupts</w:t>
            </w:r>
            <w:r w:rsidRPr="006D69D1">
              <w:rPr>
                <w:lang w:val="el-GR"/>
              </w:rPr>
              <w:t>ä</w:t>
            </w:r>
            <w:r w:rsidRPr="00B3460F">
              <w:t>chliche</w:t>
            </w:r>
            <w:r w:rsidRPr="006D69D1">
              <w:rPr>
                <w:lang w:val="el-GR"/>
              </w:rPr>
              <w:t xml:space="preserve"> </w:t>
            </w:r>
            <w:r w:rsidRPr="00B3460F">
              <w:t>St</w:t>
            </w:r>
            <w:r w:rsidRPr="006D69D1">
              <w:rPr>
                <w:lang w:val="el-GR"/>
              </w:rPr>
              <w:t>ä</w:t>
            </w:r>
            <w:r w:rsidRPr="00B3460F">
              <w:t>rke</w:t>
            </w:r>
            <w:r w:rsidRPr="006D69D1">
              <w:rPr>
                <w:lang w:val="el-GR"/>
              </w:rPr>
              <w:t xml:space="preserve"> </w:t>
            </w:r>
            <w:r w:rsidRPr="00B3460F">
              <w:t>dieser</w:t>
            </w:r>
            <w:r w:rsidRPr="006D69D1">
              <w:rPr>
                <w:lang w:val="el-GR"/>
              </w:rPr>
              <w:t xml:space="preserve"> </w:t>
            </w:r>
            <w:r w:rsidRPr="00B3460F">
              <w:t>Untersuchungsmechanismen</w:t>
            </w:r>
            <w:r w:rsidRPr="006D69D1">
              <w:rPr>
                <w:lang w:val="el-GR"/>
              </w:rPr>
              <w:t xml:space="preserve"> </w:t>
            </w:r>
            <w:r w:rsidR="00B3460F" w:rsidRPr="00B3460F">
              <w:t>dar</w:t>
            </w:r>
            <w:r w:rsidR="00B3460F">
              <w:rPr>
                <w:lang w:val="el-GR"/>
              </w:rPr>
              <w:t xml:space="preserve">. Diese Sensibilität erlaubt Ihnen ihre Arbeitsmethoden auf diese ungerechten und </w:t>
            </w:r>
            <w:r w:rsidR="00B3460F">
              <w:rPr>
                <w:lang w:val="el-GR"/>
              </w:rPr>
              <w:lastRenderedPageBreak/>
              <w:t>dringenden Probleme abzustellen, mit denen sie konfrontiert werden. Zusätzlich ist keine vorhergehende Ratifizierung oder Zustimmung von stark nötig, da die speziellen Mechanismen ein Mandat haben, dass alle Mitgliedstaaten der Vereinten Nationen oder der korrespondierenden regionalen Systeme wie die Organisation amerikanischer Staaten oder Afrikas abdeckt</w:t>
            </w:r>
            <w:r w:rsidR="0034169D" w:rsidRPr="00B3460F">
              <w:t>.</w:t>
            </w:r>
          </w:p>
          <w:p w:rsidR="0034169D" w:rsidRPr="00B3460F" w:rsidRDefault="00B3460F" w:rsidP="00B3460F">
            <w:pPr>
              <w:pStyle w:val="BodyText"/>
            </w:pPr>
            <w:r w:rsidRPr="00B3460F">
              <w:t xml:space="preserve">Aus dem Raum Untersuchungs Mechanismen auch Schwächen. Einige tritt nur in Kraft leben sie </w:t>
            </w:r>
            <w:r>
              <w:t>vom Betroffenenstaaten eingeleitet werden. Eigene Untersuchungen durchzuführen. Außerdem sind Untersuchungsmechanismen oft in Bezug auf Ressourcen sehr eingeschränkt, oder stehen unter politischem Druck von Staaten oder ihren</w:t>
            </w:r>
            <w:r w:rsidR="0034169D" w:rsidRPr="00B3460F">
              <w:t>.</w:t>
            </w:r>
          </w:p>
        </w:tc>
        <w:tc>
          <w:tcPr>
            <w:tcW w:w="2552" w:type="dxa"/>
          </w:tcPr>
          <w:p w:rsidR="0034169D" w:rsidRPr="00B3460F" w:rsidRDefault="0034169D">
            <w:pPr>
              <w:pStyle w:val="ListParagraph"/>
              <w:spacing w:after="0" w:line="240" w:lineRule="auto"/>
              <w:ind w:left="318"/>
              <w:rPr>
                <w:rFonts w:cs="Calibri"/>
                <w:i/>
                <w:sz w:val="20"/>
                <w:szCs w:val="20"/>
              </w:rPr>
            </w:pPr>
          </w:p>
        </w:tc>
      </w:tr>
      <w:tr w:rsidR="0034169D" w:rsidRPr="002A3956" w:rsidTr="006B4B67">
        <w:tc>
          <w:tcPr>
            <w:tcW w:w="7337" w:type="dxa"/>
          </w:tcPr>
          <w:p w:rsidR="0034169D" w:rsidRPr="00C702EA" w:rsidRDefault="0034169D" w:rsidP="00B3460F">
            <w:pPr>
              <w:pStyle w:val="Heading2"/>
              <w:rPr>
                <w:lang w:val="en-US"/>
              </w:rPr>
            </w:pPr>
            <w:bookmarkStart w:id="10" w:name="_Toc357626645"/>
            <w:r w:rsidRPr="00C702EA">
              <w:rPr>
                <w:lang w:val="en-US"/>
              </w:rPr>
              <w:lastRenderedPageBreak/>
              <w:t xml:space="preserve">3.4 </w:t>
            </w:r>
            <w:r w:rsidR="00B3460F">
              <w:rPr>
                <w:lang w:val="en-US"/>
              </w:rPr>
              <w:t>Andere internationale Mechanismen</w:t>
            </w:r>
            <w:bookmarkEnd w:id="10"/>
          </w:p>
        </w:tc>
        <w:tc>
          <w:tcPr>
            <w:tcW w:w="2552" w:type="dxa"/>
          </w:tcPr>
          <w:p w:rsidR="0034169D" w:rsidRPr="004D67C9" w:rsidRDefault="0034169D" w:rsidP="006B4B67">
            <w:pPr>
              <w:pStyle w:val="ListParagraph"/>
              <w:spacing w:after="0" w:line="240" w:lineRule="auto"/>
              <w:ind w:left="313"/>
              <w:rPr>
                <w:rFonts w:cs="Calibri"/>
                <w:i/>
                <w:sz w:val="20"/>
                <w:szCs w:val="20"/>
                <w:lang w:val="en-US"/>
              </w:rPr>
            </w:pPr>
          </w:p>
          <w:p w:rsidR="0034169D" w:rsidRPr="00546BEA" w:rsidRDefault="0034169D" w:rsidP="00546BEA">
            <w:pPr>
              <w:spacing w:after="0" w:line="240" w:lineRule="auto"/>
              <w:rPr>
                <w:rFonts w:cs="Calibri"/>
                <w:i/>
                <w:sz w:val="20"/>
                <w:szCs w:val="20"/>
                <w:lang w:val="en-US"/>
              </w:rPr>
            </w:pPr>
          </w:p>
        </w:tc>
      </w:tr>
      <w:tr w:rsidR="0034169D" w:rsidRPr="004644C5" w:rsidTr="006B4B67">
        <w:tc>
          <w:tcPr>
            <w:tcW w:w="7337" w:type="dxa"/>
          </w:tcPr>
          <w:p w:rsidR="0034169D" w:rsidRPr="00CF1C2F" w:rsidRDefault="00B3460F" w:rsidP="00CF1C2F">
            <w:pPr>
              <w:pStyle w:val="BodyText"/>
            </w:pPr>
            <w:r w:rsidRPr="00B3460F">
              <w:t xml:space="preserve">Die oben erwähnten Mechanismen wurden in den letzten Jahrzehnten entwickelt um die Verpflichtungen von Staaten im Menschenrechts </w:t>
            </w:r>
            <w:r>
              <w:t>zu beobachten</w:t>
            </w:r>
            <w:r w:rsidR="0034169D" w:rsidRPr="00B3460F">
              <w:t xml:space="preserve">. </w:t>
            </w:r>
            <w:r w:rsidRPr="00B3460F">
              <w:t xml:space="preserve">In den letzten 20 Jahren haben eine Reihe von interessanten Entwicklungen auch die Verpflichtung von Einzelpersonen im Bezug auf die Einhaltung von Menschenrechten </w:t>
            </w:r>
            <w:r>
              <w:t>unterstrichen</w:t>
            </w:r>
            <w:r w:rsidR="005208F2">
              <w:t xml:space="preserve">. </w:t>
            </w:r>
            <w:r w:rsidR="00CF1C2F" w:rsidRPr="00CF1C2F">
              <w:t>In den letzten 20 Jahren haben eine Reihe von interessanten Entwicklungen die Verantwortung von Einzelpersonen im Bezug auf diese Menschenrechte unterstrichen</w:t>
            </w:r>
            <w:r w:rsidR="00CF1C2F">
              <w:t xml:space="preserve">. </w:t>
            </w:r>
            <w:r w:rsidR="00CF1C2F" w:rsidRPr="00CF1C2F">
              <w:t>Das beste Beispiel im internationalen Kampf gegen Menschenrechtsverletzungen ist die Einrichtung von zwei internationalen ad hoc regionalen, nämlich dem</w:t>
            </w:r>
            <w:r w:rsidR="00CF1C2F">
              <w:t xml:space="preserve"> das ehemalige Jugoslawien und dem für </w:t>
            </w:r>
            <w:r w:rsidR="0034169D" w:rsidRPr="00CF1C2F">
              <w:t>Rwanda (ICTR).</w:t>
            </w:r>
            <w:r w:rsidR="00CF1C2F" w:rsidRPr="00CF1C2F">
              <w:t xml:space="preserve"> Beide können als Vorläufer des permanenten Internationalen Strafgerichtshofs gesehen werden </w:t>
            </w:r>
            <w:r w:rsidR="00CF1C2F">
              <w:t>(</w:t>
            </w:r>
            <w:r w:rsidR="0034169D" w:rsidRPr="00CF1C2F">
              <w:t>International Criminal Court (ICC)</w:t>
            </w:r>
            <w:r w:rsidR="00CF1C2F">
              <w:t>)</w:t>
            </w:r>
            <w:r w:rsidR="0034169D" w:rsidRPr="00CF1C2F">
              <w:t>.</w:t>
            </w:r>
          </w:p>
        </w:tc>
        <w:tc>
          <w:tcPr>
            <w:tcW w:w="2552" w:type="dxa"/>
          </w:tcPr>
          <w:p w:rsidR="0034169D" w:rsidRPr="00CF1C2F" w:rsidRDefault="0034169D" w:rsidP="006B4B67">
            <w:pPr>
              <w:pStyle w:val="ListParagraph"/>
              <w:spacing w:after="0" w:line="240" w:lineRule="auto"/>
              <w:ind w:left="313"/>
              <w:rPr>
                <w:rFonts w:cs="Calibri"/>
                <w:i/>
                <w:sz w:val="20"/>
                <w:szCs w:val="20"/>
              </w:rPr>
            </w:pPr>
          </w:p>
          <w:p w:rsidR="0034169D" w:rsidRPr="00CF1C2F" w:rsidRDefault="0034169D" w:rsidP="006B4B67">
            <w:pPr>
              <w:spacing w:after="0" w:line="240" w:lineRule="auto"/>
              <w:ind w:left="313" w:hanging="270"/>
              <w:rPr>
                <w:rFonts w:cs="Calibri"/>
                <w:i/>
                <w:sz w:val="20"/>
                <w:szCs w:val="20"/>
                <w:lang w:val="de-DE"/>
              </w:rPr>
            </w:pPr>
          </w:p>
          <w:p w:rsidR="0034169D" w:rsidRPr="00CF1C2F" w:rsidRDefault="0034169D" w:rsidP="006B4B67">
            <w:pPr>
              <w:spacing w:after="0" w:line="240" w:lineRule="auto"/>
              <w:ind w:left="313" w:hanging="270"/>
              <w:rPr>
                <w:rFonts w:cs="Calibri"/>
                <w:i/>
                <w:sz w:val="20"/>
                <w:szCs w:val="20"/>
                <w:lang w:val="de-DE"/>
              </w:rPr>
            </w:pPr>
          </w:p>
          <w:p w:rsidR="0034169D" w:rsidRPr="00CF1C2F" w:rsidRDefault="0034169D" w:rsidP="006B4B67">
            <w:pPr>
              <w:spacing w:after="0" w:line="240" w:lineRule="auto"/>
              <w:ind w:left="313" w:hanging="270"/>
              <w:rPr>
                <w:rFonts w:cs="Calibri"/>
                <w:i/>
                <w:sz w:val="20"/>
                <w:szCs w:val="20"/>
                <w:lang w:val="de-DE"/>
              </w:rPr>
            </w:pPr>
          </w:p>
          <w:p w:rsidR="0034169D" w:rsidRPr="00CF1C2F" w:rsidRDefault="0034169D" w:rsidP="006B4B67">
            <w:pPr>
              <w:spacing w:after="0" w:line="240" w:lineRule="auto"/>
              <w:ind w:left="313" w:hanging="270"/>
              <w:rPr>
                <w:rFonts w:cs="Calibri"/>
                <w:i/>
                <w:sz w:val="20"/>
                <w:szCs w:val="20"/>
                <w:lang w:val="de-DE"/>
              </w:rPr>
            </w:pPr>
          </w:p>
          <w:p w:rsidR="0034169D" w:rsidRPr="00CF1C2F" w:rsidRDefault="0034169D" w:rsidP="006B4B67">
            <w:pPr>
              <w:spacing w:after="0" w:line="240" w:lineRule="auto"/>
              <w:ind w:left="313" w:hanging="270"/>
              <w:rPr>
                <w:rFonts w:cs="Calibri"/>
                <w:i/>
                <w:sz w:val="20"/>
                <w:szCs w:val="20"/>
                <w:lang w:val="de-DE"/>
              </w:rPr>
            </w:pPr>
          </w:p>
          <w:p w:rsidR="0034169D" w:rsidRPr="00CF1C2F" w:rsidRDefault="0034169D" w:rsidP="00F1047C">
            <w:pPr>
              <w:pStyle w:val="ListParagraph"/>
              <w:spacing w:after="0" w:line="240" w:lineRule="auto"/>
              <w:ind w:left="313"/>
              <w:rPr>
                <w:rFonts w:cs="Calibri"/>
                <w:i/>
                <w:sz w:val="20"/>
                <w:szCs w:val="20"/>
              </w:rPr>
            </w:pPr>
          </w:p>
        </w:tc>
      </w:tr>
      <w:tr w:rsidR="0034169D" w:rsidRPr="004644C5" w:rsidTr="006B4B67">
        <w:tc>
          <w:tcPr>
            <w:tcW w:w="7337" w:type="dxa"/>
          </w:tcPr>
          <w:p w:rsidR="0034169D" w:rsidRPr="00CF1C2F" w:rsidRDefault="00CF1C2F" w:rsidP="00CF1C2F">
            <w:pPr>
              <w:pStyle w:val="BodyText"/>
            </w:pPr>
            <w:r w:rsidRPr="00CF1C2F">
              <w:t>Das</w:t>
            </w:r>
            <w:r w:rsidRPr="00CF1C2F">
              <w:rPr>
                <w:lang w:val="el-GR"/>
              </w:rPr>
              <w:t xml:space="preserve"> </w:t>
            </w:r>
            <w:r w:rsidRPr="00CF1C2F">
              <w:t>Tribunal</w:t>
            </w:r>
            <w:r w:rsidRPr="00CF1C2F">
              <w:rPr>
                <w:lang w:val="el-GR"/>
              </w:rPr>
              <w:t xml:space="preserve"> </w:t>
            </w:r>
            <w:r w:rsidRPr="00CF1C2F">
              <w:t>f</w:t>
            </w:r>
            <w:r w:rsidRPr="00CF1C2F">
              <w:rPr>
                <w:lang w:val="el-GR"/>
              </w:rPr>
              <w:t>ü</w:t>
            </w:r>
            <w:r w:rsidRPr="00CF1C2F">
              <w:t>r</w:t>
            </w:r>
            <w:r w:rsidRPr="00CF1C2F">
              <w:rPr>
                <w:lang w:val="el-GR"/>
              </w:rPr>
              <w:t xml:space="preserve"> </w:t>
            </w:r>
            <w:r w:rsidRPr="00CF1C2F">
              <w:t>das</w:t>
            </w:r>
            <w:r w:rsidRPr="00CF1C2F">
              <w:rPr>
                <w:lang w:val="el-GR"/>
              </w:rPr>
              <w:t xml:space="preserve"> </w:t>
            </w:r>
            <w:r w:rsidRPr="00CF1C2F">
              <w:t>ehemalige</w:t>
            </w:r>
            <w:r w:rsidRPr="00CF1C2F">
              <w:rPr>
                <w:lang w:val="el-GR"/>
              </w:rPr>
              <w:t xml:space="preserve"> </w:t>
            </w:r>
            <w:r w:rsidRPr="00CF1C2F">
              <w:t>Jugoslawien</w:t>
            </w:r>
            <w:r w:rsidRPr="00CF1C2F">
              <w:rPr>
                <w:lang w:val="el-GR"/>
              </w:rPr>
              <w:t xml:space="preserve"> </w:t>
            </w:r>
            <w:r w:rsidRPr="00CF1C2F">
              <w:t>und</w:t>
            </w:r>
            <w:r w:rsidRPr="00CF1C2F">
              <w:rPr>
                <w:lang w:val="el-GR"/>
              </w:rPr>
              <w:t xml:space="preserve"> </w:t>
            </w:r>
            <w:r w:rsidRPr="00CF1C2F">
              <w:t>das</w:t>
            </w:r>
            <w:r w:rsidRPr="00CF1C2F">
              <w:rPr>
                <w:lang w:val="el-GR"/>
              </w:rPr>
              <w:t xml:space="preserve"> </w:t>
            </w:r>
            <w:r w:rsidRPr="00CF1C2F">
              <w:t>Tribunal</w:t>
            </w:r>
            <w:r w:rsidRPr="00CF1C2F">
              <w:rPr>
                <w:lang w:val="el-GR"/>
              </w:rPr>
              <w:t xml:space="preserve"> </w:t>
            </w:r>
            <w:r w:rsidRPr="00CF1C2F">
              <w:t>f</w:t>
            </w:r>
            <w:r w:rsidRPr="00CF1C2F">
              <w:rPr>
                <w:lang w:val="el-GR"/>
              </w:rPr>
              <w:t>ü</w:t>
            </w:r>
            <w:r w:rsidRPr="00CF1C2F">
              <w:t>r</w:t>
            </w:r>
            <w:r w:rsidRPr="00CF1C2F">
              <w:rPr>
                <w:lang w:val="el-GR"/>
              </w:rPr>
              <w:t xml:space="preserve"> </w:t>
            </w:r>
            <w:r w:rsidR="0034169D" w:rsidRPr="00CF1C2F">
              <w:t>Rwanda</w:t>
            </w:r>
            <w:r w:rsidR="0034169D" w:rsidRPr="00CF1C2F">
              <w:rPr>
                <w:lang w:val="el-GR"/>
              </w:rPr>
              <w:t xml:space="preserve"> </w:t>
            </w:r>
            <w:r w:rsidRPr="00CF1C2F">
              <w:t>bindet</w:t>
            </w:r>
            <w:r w:rsidRPr="00CF1C2F">
              <w:rPr>
                <w:lang w:val="el-GR"/>
              </w:rPr>
              <w:t xml:space="preserve"> </w:t>
            </w:r>
            <w:r w:rsidRPr="00CF1C2F">
              <w:t>ihre</w:t>
            </w:r>
            <w:r w:rsidRPr="00CF1C2F">
              <w:rPr>
                <w:lang w:val="el-GR"/>
              </w:rPr>
              <w:t xml:space="preserve"> </w:t>
            </w:r>
            <w:r w:rsidRPr="00CF1C2F">
              <w:t>Basis</w:t>
            </w:r>
            <w:r w:rsidRPr="00CF1C2F">
              <w:rPr>
                <w:lang w:val="el-GR"/>
              </w:rPr>
              <w:t xml:space="preserve"> </w:t>
            </w:r>
            <w:r w:rsidRPr="00CF1C2F">
              <w:t>in</w:t>
            </w:r>
            <w:r w:rsidRPr="00CF1C2F">
              <w:rPr>
                <w:lang w:val="el-GR"/>
              </w:rPr>
              <w:t xml:space="preserve"> </w:t>
            </w:r>
            <w:r w:rsidRPr="00CF1C2F">
              <w:t>den</w:t>
            </w:r>
            <w:r w:rsidRPr="00CF1C2F">
              <w:rPr>
                <w:lang w:val="el-GR"/>
              </w:rPr>
              <w:t xml:space="preserve"> </w:t>
            </w:r>
            <w:r w:rsidRPr="00CF1C2F">
              <w:t>zwei</w:t>
            </w:r>
            <w:r w:rsidRPr="00CF1C2F">
              <w:rPr>
                <w:lang w:val="el-GR"/>
              </w:rPr>
              <w:t xml:space="preserve"> </w:t>
            </w:r>
            <w:r>
              <w:rPr>
                <w:lang w:val="el-GR"/>
              </w:rPr>
              <w:t>Resolutionen des Sicherheitsrats der Vereinten Nationen in den frühen neunziger Jahren nach den Kriegen im ehemaligen Jugoslawien und dem Genozid in Ruanda</w:t>
            </w:r>
            <w:r w:rsidR="0034169D" w:rsidRPr="00CF1C2F">
              <w:rPr>
                <w:lang w:val="el-GR"/>
              </w:rPr>
              <w:t xml:space="preserve">. </w:t>
            </w:r>
            <w:r>
              <w:rPr>
                <w:lang w:val="el-GR"/>
              </w:rPr>
              <w:t>Der Internationale Strafgerichtshof wurde durch das Romstatut 1998 etabliert. Das Ziel der Mechanismen besteht darin, dass einzelne Täter für schwerwiegende Menschenrechtsverletzungen wie Kriegsverbrechen, Verbrechen gegen die Menschlichkeit oder Genozid zur Rechenschaft gezogen werden</w:t>
            </w:r>
            <w:r>
              <w:t>.</w:t>
            </w:r>
          </w:p>
        </w:tc>
        <w:tc>
          <w:tcPr>
            <w:tcW w:w="2552" w:type="dxa"/>
          </w:tcPr>
          <w:p w:rsidR="0034169D" w:rsidRPr="0086722B" w:rsidRDefault="0086722B" w:rsidP="00DF7E34">
            <w:pPr>
              <w:pStyle w:val="ListParagraph"/>
              <w:numPr>
                <w:ilvl w:val="0"/>
                <w:numId w:val="9"/>
              </w:numPr>
              <w:spacing w:after="0" w:line="240" w:lineRule="auto"/>
              <w:ind w:left="318" w:hanging="284"/>
              <w:rPr>
                <w:rFonts w:cs="Calibri"/>
                <w:i/>
                <w:sz w:val="20"/>
                <w:szCs w:val="20"/>
              </w:rPr>
            </w:pPr>
            <w:r w:rsidRPr="0086722B">
              <w:rPr>
                <w:rFonts w:cs="Calibri"/>
                <w:i/>
                <w:sz w:val="20"/>
                <w:szCs w:val="20"/>
              </w:rPr>
              <w:t xml:space="preserve">Zu </w:t>
            </w:r>
            <w:r w:rsidR="0034169D" w:rsidRPr="0086722B">
              <w:rPr>
                <w:rFonts w:cs="Calibri"/>
                <w:i/>
                <w:sz w:val="20"/>
                <w:szCs w:val="20"/>
              </w:rPr>
              <w:t>ICTY,</w:t>
            </w:r>
            <w:r w:rsidRPr="0086722B">
              <w:rPr>
                <w:rFonts w:cs="Calibri"/>
                <w:i/>
                <w:sz w:val="20"/>
                <w:szCs w:val="20"/>
              </w:rPr>
              <w:t xml:space="preserve"> siehe </w:t>
            </w:r>
            <w:hyperlink r:id="rId29" w:history="1">
              <w:r w:rsidR="0034169D" w:rsidRPr="0086722B">
                <w:rPr>
                  <w:rStyle w:val="Hyperlink"/>
                  <w:rFonts w:cs="Calibri"/>
                  <w:i/>
                  <w:sz w:val="20"/>
                  <w:szCs w:val="20"/>
                </w:rPr>
                <w:t>www.icty.org</w:t>
              </w:r>
            </w:hyperlink>
            <w:r w:rsidR="0034169D" w:rsidRPr="0086722B">
              <w:rPr>
                <w:rFonts w:cs="Calibri"/>
                <w:i/>
                <w:sz w:val="20"/>
                <w:szCs w:val="20"/>
              </w:rPr>
              <w:t xml:space="preserve"> </w:t>
            </w:r>
          </w:p>
          <w:p w:rsidR="0034169D" w:rsidRPr="0086722B" w:rsidRDefault="0034169D" w:rsidP="00DF7E34">
            <w:pPr>
              <w:pStyle w:val="ListParagraph"/>
              <w:spacing w:after="0" w:line="240" w:lineRule="auto"/>
              <w:ind w:left="318"/>
              <w:rPr>
                <w:rFonts w:cs="Calibri"/>
                <w:i/>
                <w:sz w:val="20"/>
                <w:szCs w:val="20"/>
              </w:rPr>
            </w:pPr>
          </w:p>
          <w:p w:rsidR="0034169D" w:rsidRPr="0086722B" w:rsidRDefault="0086722B" w:rsidP="0086722B">
            <w:pPr>
              <w:pStyle w:val="ListParagraph"/>
              <w:numPr>
                <w:ilvl w:val="0"/>
                <w:numId w:val="9"/>
              </w:numPr>
              <w:spacing w:after="0" w:line="240" w:lineRule="auto"/>
              <w:ind w:left="318" w:hanging="284"/>
              <w:rPr>
                <w:rFonts w:cs="Calibri"/>
                <w:i/>
                <w:sz w:val="20"/>
                <w:szCs w:val="20"/>
              </w:rPr>
            </w:pPr>
            <w:r w:rsidRPr="0086722B">
              <w:rPr>
                <w:rFonts w:cs="Calibri"/>
                <w:i/>
                <w:sz w:val="20"/>
                <w:szCs w:val="20"/>
              </w:rPr>
              <w:t xml:space="preserve">Siehe die </w:t>
            </w:r>
            <w:r w:rsidR="0034169D" w:rsidRPr="0086722B">
              <w:rPr>
                <w:rFonts w:cs="Calibri"/>
                <w:i/>
                <w:sz w:val="20"/>
                <w:szCs w:val="20"/>
              </w:rPr>
              <w:t xml:space="preserve">website </w:t>
            </w:r>
            <w:hyperlink r:id="rId30" w:history="1">
              <w:r w:rsidR="0034169D" w:rsidRPr="0086722B">
                <w:rPr>
                  <w:rStyle w:val="Hyperlink"/>
                  <w:rFonts w:cs="Calibri"/>
                  <w:i/>
                  <w:sz w:val="20"/>
                  <w:szCs w:val="20"/>
                </w:rPr>
                <w:t>www.unictr.org</w:t>
              </w:r>
            </w:hyperlink>
            <w:r w:rsidRPr="0086722B">
              <w:rPr>
                <w:rFonts w:cs="Calibri"/>
                <w:i/>
                <w:sz w:val="20"/>
                <w:szCs w:val="20"/>
              </w:rPr>
              <w:t xml:space="preserve"> für mehr Informationen zu </w:t>
            </w:r>
            <w:r w:rsidR="0034169D" w:rsidRPr="0086722B">
              <w:rPr>
                <w:rFonts w:cs="Calibri"/>
                <w:i/>
                <w:sz w:val="20"/>
                <w:szCs w:val="20"/>
              </w:rPr>
              <w:t>ICTR.</w:t>
            </w:r>
          </w:p>
        </w:tc>
      </w:tr>
      <w:tr w:rsidR="0034169D" w:rsidRPr="004644C5" w:rsidTr="006B4B67">
        <w:tc>
          <w:tcPr>
            <w:tcW w:w="7337" w:type="dxa"/>
          </w:tcPr>
          <w:p w:rsidR="0034169D" w:rsidRPr="00CF1C2F" w:rsidRDefault="00CF1C2F">
            <w:pPr>
              <w:pStyle w:val="BodyText"/>
              <w:rPr>
                <w:lang w:val="el-GR"/>
              </w:rPr>
            </w:pPr>
            <w:r w:rsidRPr="00CF1C2F">
              <w:t>Ihre</w:t>
            </w:r>
            <w:r w:rsidRPr="00CF1C2F">
              <w:rPr>
                <w:lang w:val="el-GR"/>
              </w:rPr>
              <w:t xml:space="preserve"> </w:t>
            </w:r>
            <w:r w:rsidRPr="00CF1C2F">
              <w:t>St</w:t>
            </w:r>
            <w:r w:rsidRPr="00CF1C2F">
              <w:rPr>
                <w:lang w:val="el-GR"/>
              </w:rPr>
              <w:t>ä</w:t>
            </w:r>
            <w:r w:rsidRPr="00CF1C2F">
              <w:t>rke</w:t>
            </w:r>
            <w:r w:rsidRPr="00CF1C2F">
              <w:rPr>
                <w:lang w:val="el-GR"/>
              </w:rPr>
              <w:t xml:space="preserve"> </w:t>
            </w:r>
            <w:r w:rsidRPr="00CF1C2F">
              <w:t>liegt</w:t>
            </w:r>
            <w:r w:rsidRPr="00CF1C2F">
              <w:rPr>
                <w:lang w:val="el-GR"/>
              </w:rPr>
              <w:t xml:space="preserve"> </w:t>
            </w:r>
            <w:r w:rsidRPr="00CF1C2F">
              <w:t>offensichtlich</w:t>
            </w:r>
            <w:r w:rsidRPr="00CF1C2F">
              <w:rPr>
                <w:lang w:val="el-GR"/>
              </w:rPr>
              <w:t xml:space="preserve"> </w:t>
            </w:r>
            <w:r w:rsidRPr="00CF1C2F">
              <w:t>in</w:t>
            </w:r>
            <w:r w:rsidRPr="00CF1C2F">
              <w:rPr>
                <w:lang w:val="el-GR"/>
              </w:rPr>
              <w:t xml:space="preserve"> </w:t>
            </w:r>
            <w:r w:rsidRPr="00CF1C2F">
              <w:t>ihrer</w:t>
            </w:r>
            <w:r w:rsidRPr="00CF1C2F">
              <w:rPr>
                <w:lang w:val="el-GR"/>
              </w:rPr>
              <w:t xml:space="preserve"> </w:t>
            </w:r>
            <w:r w:rsidRPr="00CF1C2F">
              <w:t>juristischen</w:t>
            </w:r>
            <w:r w:rsidRPr="00CF1C2F">
              <w:rPr>
                <w:lang w:val="el-GR"/>
              </w:rPr>
              <w:t xml:space="preserve"> </w:t>
            </w:r>
            <w:r w:rsidRPr="00CF1C2F">
              <w:t>Kompetenz</w:t>
            </w:r>
            <w:r w:rsidRPr="00CF1C2F">
              <w:rPr>
                <w:lang w:val="el-GR"/>
              </w:rPr>
              <w:t xml:space="preserve">, </w:t>
            </w:r>
            <w:r w:rsidRPr="00CF1C2F">
              <w:t>Einzelpersonen</w:t>
            </w:r>
            <w:r w:rsidRPr="00CF1C2F">
              <w:rPr>
                <w:lang w:val="el-GR"/>
              </w:rPr>
              <w:t xml:space="preserve"> </w:t>
            </w:r>
            <w:r w:rsidRPr="00CF1C2F">
              <w:t>f</w:t>
            </w:r>
            <w:r w:rsidRPr="00CF1C2F">
              <w:rPr>
                <w:lang w:val="el-GR"/>
              </w:rPr>
              <w:t>ü</w:t>
            </w:r>
            <w:r w:rsidRPr="00CF1C2F">
              <w:t>r</w:t>
            </w:r>
            <w:r w:rsidRPr="00CF1C2F">
              <w:rPr>
                <w:lang w:val="el-GR"/>
              </w:rPr>
              <w:t xml:space="preserve"> </w:t>
            </w:r>
            <w:r w:rsidRPr="00CF1C2F">
              <w:t>schwere</w:t>
            </w:r>
            <w:r w:rsidRPr="00CF1C2F">
              <w:rPr>
                <w:lang w:val="el-GR"/>
              </w:rPr>
              <w:t xml:space="preserve"> </w:t>
            </w:r>
            <w:r w:rsidRPr="00CF1C2F">
              <w:t>Menschenrechtsverletzungen</w:t>
            </w:r>
            <w:r w:rsidRPr="00CF1C2F">
              <w:rPr>
                <w:lang w:val="el-GR"/>
              </w:rPr>
              <w:t xml:space="preserve"> </w:t>
            </w:r>
            <w:r w:rsidRPr="00CF1C2F">
              <w:t>zur</w:t>
            </w:r>
            <w:r w:rsidRPr="00CF1C2F">
              <w:rPr>
                <w:lang w:val="el-GR"/>
              </w:rPr>
              <w:t xml:space="preserve"> </w:t>
            </w:r>
            <w:r w:rsidRPr="00CF1C2F">
              <w:t>Rechenschaft</w:t>
            </w:r>
            <w:r w:rsidRPr="00CF1C2F">
              <w:rPr>
                <w:lang w:val="el-GR"/>
              </w:rPr>
              <w:t xml:space="preserve"> </w:t>
            </w:r>
            <w:r w:rsidRPr="00CF1C2F">
              <w:t>zu</w:t>
            </w:r>
            <w:r w:rsidRPr="00CF1C2F">
              <w:rPr>
                <w:lang w:val="el-GR"/>
              </w:rPr>
              <w:t xml:space="preserve"> </w:t>
            </w:r>
            <w:r w:rsidRPr="00CF1C2F">
              <w:t>ziehen</w:t>
            </w:r>
            <w:r w:rsidRPr="00CF1C2F">
              <w:rPr>
                <w:lang w:val="el-GR"/>
              </w:rPr>
              <w:t xml:space="preserve"> </w:t>
            </w:r>
            <w:r>
              <w:rPr>
                <w:lang w:val="el-GR"/>
              </w:rPr>
              <w:t>und so die Straflosigkeit zu verhindern</w:t>
            </w:r>
            <w:r w:rsidR="0034169D" w:rsidRPr="00CF1C2F">
              <w:rPr>
                <w:lang w:val="el-GR"/>
              </w:rPr>
              <w:t>.</w:t>
            </w:r>
          </w:p>
          <w:p w:rsidR="0034169D" w:rsidRPr="00CF1C2F" w:rsidRDefault="00CF1C2F" w:rsidP="00CF1C2F">
            <w:pPr>
              <w:pStyle w:val="BodyText"/>
              <w:rPr>
                <w:lang w:val="el-GR"/>
              </w:rPr>
            </w:pPr>
            <w:r w:rsidRPr="00CF1C2F">
              <w:t>Ihre</w:t>
            </w:r>
            <w:r w:rsidRPr="00CF1C2F">
              <w:rPr>
                <w:lang w:val="el-GR"/>
              </w:rPr>
              <w:t xml:space="preserve"> </w:t>
            </w:r>
            <w:r w:rsidRPr="00CF1C2F">
              <w:t>Schw</w:t>
            </w:r>
            <w:r w:rsidRPr="00CF1C2F">
              <w:rPr>
                <w:lang w:val="el-GR"/>
              </w:rPr>
              <w:t>ä</w:t>
            </w:r>
            <w:r w:rsidRPr="00CF1C2F">
              <w:t>che</w:t>
            </w:r>
            <w:r w:rsidRPr="00CF1C2F">
              <w:rPr>
                <w:lang w:val="el-GR"/>
              </w:rPr>
              <w:t xml:space="preserve"> </w:t>
            </w:r>
            <w:r w:rsidRPr="00CF1C2F">
              <w:t>liegt</w:t>
            </w:r>
            <w:r w:rsidRPr="00CF1C2F">
              <w:rPr>
                <w:lang w:val="el-GR"/>
              </w:rPr>
              <w:t xml:space="preserve"> </w:t>
            </w:r>
            <w:r w:rsidRPr="00CF1C2F">
              <w:t>darin</w:t>
            </w:r>
            <w:r w:rsidRPr="00CF1C2F">
              <w:rPr>
                <w:lang w:val="el-GR"/>
              </w:rPr>
              <w:t xml:space="preserve"> </w:t>
            </w:r>
            <w:r w:rsidRPr="00CF1C2F">
              <w:t>dass</w:t>
            </w:r>
            <w:r w:rsidRPr="00CF1C2F">
              <w:rPr>
                <w:lang w:val="el-GR"/>
              </w:rPr>
              <w:t xml:space="preserve"> </w:t>
            </w:r>
            <w:r w:rsidRPr="00CF1C2F">
              <w:t>sie</w:t>
            </w:r>
            <w:r w:rsidRPr="00CF1C2F">
              <w:rPr>
                <w:lang w:val="el-GR"/>
              </w:rPr>
              <w:t xml:space="preserve"> </w:t>
            </w:r>
            <w:r w:rsidRPr="00CF1C2F">
              <w:t>nur</w:t>
            </w:r>
            <w:r w:rsidRPr="00CF1C2F">
              <w:rPr>
                <w:lang w:val="el-GR"/>
              </w:rPr>
              <w:t xml:space="preserve"> </w:t>
            </w:r>
            <w:r w:rsidRPr="00CF1C2F">
              <w:t>eine</w:t>
            </w:r>
            <w:r w:rsidRPr="00CF1C2F">
              <w:rPr>
                <w:lang w:val="el-GR"/>
              </w:rPr>
              <w:t xml:space="preserve"> </w:t>
            </w:r>
            <w:r w:rsidRPr="00CF1C2F">
              <w:t>begrenzte</w:t>
            </w:r>
            <w:r w:rsidRPr="00CF1C2F">
              <w:rPr>
                <w:lang w:val="el-GR"/>
              </w:rPr>
              <w:t xml:space="preserve"> </w:t>
            </w:r>
            <w:r w:rsidRPr="00CF1C2F">
              <w:t>Anzahl</w:t>
            </w:r>
            <w:r w:rsidRPr="00CF1C2F">
              <w:rPr>
                <w:lang w:val="el-GR"/>
              </w:rPr>
              <w:t xml:space="preserve"> </w:t>
            </w:r>
            <w:r w:rsidRPr="00CF1C2F">
              <w:t>von</w:t>
            </w:r>
            <w:r w:rsidRPr="00CF1C2F">
              <w:rPr>
                <w:lang w:val="el-GR"/>
              </w:rPr>
              <w:t xml:space="preserve"> </w:t>
            </w:r>
            <w:r w:rsidRPr="00CF1C2F">
              <w:t>F</w:t>
            </w:r>
            <w:r w:rsidRPr="00CF1C2F">
              <w:rPr>
                <w:lang w:val="el-GR"/>
              </w:rPr>
              <w:t>ä</w:t>
            </w:r>
            <w:r w:rsidRPr="00CF1C2F">
              <w:t>llen</w:t>
            </w:r>
            <w:r w:rsidRPr="00CF1C2F">
              <w:rPr>
                <w:lang w:val="el-GR"/>
              </w:rPr>
              <w:t xml:space="preserve"> </w:t>
            </w:r>
            <w:r w:rsidRPr="00CF1C2F">
              <w:t>behandeln</w:t>
            </w:r>
            <w:r w:rsidRPr="00CF1C2F">
              <w:rPr>
                <w:lang w:val="el-GR"/>
              </w:rPr>
              <w:t xml:space="preserve"> </w:t>
            </w:r>
            <w:r w:rsidRPr="00CF1C2F">
              <w:t>kann</w:t>
            </w:r>
            <w:r w:rsidRPr="00CF1C2F">
              <w:rPr>
                <w:lang w:val="el-GR"/>
              </w:rPr>
              <w:t xml:space="preserve"> </w:t>
            </w:r>
            <w:r w:rsidRPr="00CF1C2F">
              <w:t>und</w:t>
            </w:r>
            <w:r w:rsidRPr="00CF1C2F">
              <w:rPr>
                <w:lang w:val="el-GR"/>
              </w:rPr>
              <w:t xml:space="preserve"> </w:t>
            </w:r>
            <w:r w:rsidRPr="00CF1C2F">
              <w:t>das</w:t>
            </w:r>
            <w:r w:rsidRPr="00CF1C2F">
              <w:rPr>
                <w:lang w:val="el-GR"/>
              </w:rPr>
              <w:t xml:space="preserve"> </w:t>
            </w:r>
            <w:r w:rsidRPr="00CF1C2F">
              <w:t>Strafprozess</w:t>
            </w:r>
            <w:r w:rsidRPr="00CF1C2F">
              <w:rPr>
                <w:lang w:val="el-GR"/>
              </w:rPr>
              <w:t xml:space="preserve"> </w:t>
            </w:r>
            <w:r w:rsidRPr="00CF1C2F">
              <w:t>eine</w:t>
            </w:r>
            <w:r w:rsidRPr="00CF1C2F">
              <w:rPr>
                <w:lang w:val="el-GR"/>
              </w:rPr>
              <w:t xml:space="preserve"> </w:t>
            </w:r>
            <w:r w:rsidRPr="00CF1C2F">
              <w:t>lange</w:t>
            </w:r>
            <w:r w:rsidRPr="00CF1C2F">
              <w:rPr>
                <w:lang w:val="el-GR"/>
              </w:rPr>
              <w:t xml:space="preserve"> </w:t>
            </w:r>
            <w:r w:rsidRPr="00CF1C2F">
              <w:t>Zeit</w:t>
            </w:r>
            <w:r w:rsidRPr="00CF1C2F">
              <w:rPr>
                <w:lang w:val="el-GR"/>
              </w:rPr>
              <w:t xml:space="preserve"> </w:t>
            </w:r>
            <w:r w:rsidRPr="00CF1C2F">
              <w:t>in</w:t>
            </w:r>
            <w:r w:rsidRPr="00CF1C2F">
              <w:rPr>
                <w:lang w:val="el-GR"/>
              </w:rPr>
              <w:t xml:space="preserve"> </w:t>
            </w:r>
            <w:r w:rsidRPr="00CF1C2F">
              <w:t>Anspruch</w:t>
            </w:r>
            <w:r w:rsidRPr="00CF1C2F">
              <w:rPr>
                <w:lang w:val="el-GR"/>
              </w:rPr>
              <w:t xml:space="preserve"> </w:t>
            </w:r>
            <w:r w:rsidRPr="00CF1C2F">
              <w:t>nehmen</w:t>
            </w:r>
            <w:r w:rsidRPr="00CF1C2F">
              <w:rPr>
                <w:lang w:val="el-GR"/>
              </w:rPr>
              <w:t xml:space="preserve"> </w:t>
            </w:r>
            <w:r w:rsidRPr="00CF1C2F">
              <w:t>k</w:t>
            </w:r>
            <w:r w:rsidRPr="00CF1C2F">
              <w:rPr>
                <w:lang w:val="el-GR"/>
              </w:rPr>
              <w:t>ö</w:t>
            </w:r>
            <w:r w:rsidRPr="00CF1C2F">
              <w:t>nnen</w:t>
            </w:r>
            <w:r w:rsidR="0034169D" w:rsidRPr="00CF1C2F">
              <w:rPr>
                <w:lang w:val="el-GR"/>
              </w:rPr>
              <w:t>.</w:t>
            </w:r>
          </w:p>
        </w:tc>
        <w:tc>
          <w:tcPr>
            <w:tcW w:w="2552" w:type="dxa"/>
          </w:tcPr>
          <w:p w:rsidR="0034169D" w:rsidRPr="00CF1C2F" w:rsidRDefault="0034169D" w:rsidP="006B4B67">
            <w:pPr>
              <w:pStyle w:val="ListParagraph"/>
              <w:spacing w:after="0" w:line="240" w:lineRule="auto"/>
              <w:ind w:left="313"/>
              <w:rPr>
                <w:rFonts w:cs="Calibri"/>
                <w:i/>
                <w:sz w:val="20"/>
                <w:szCs w:val="20"/>
                <w:lang w:val="el-GR"/>
              </w:rPr>
            </w:pPr>
          </w:p>
          <w:p w:rsidR="0034169D" w:rsidRPr="0086722B" w:rsidRDefault="0086722B" w:rsidP="0086722B">
            <w:pPr>
              <w:pStyle w:val="ListParagraph"/>
              <w:numPr>
                <w:ilvl w:val="0"/>
                <w:numId w:val="10"/>
              </w:numPr>
              <w:spacing w:after="0" w:line="240" w:lineRule="auto"/>
              <w:ind w:left="318" w:hanging="284"/>
              <w:rPr>
                <w:rFonts w:cs="Calibri"/>
                <w:i/>
                <w:sz w:val="20"/>
                <w:szCs w:val="20"/>
              </w:rPr>
            </w:pPr>
            <w:r w:rsidRPr="0086722B">
              <w:rPr>
                <w:rFonts w:cs="Calibri"/>
                <w:i/>
                <w:sz w:val="20"/>
                <w:szCs w:val="20"/>
              </w:rPr>
              <w:t>Weitere Informationen dazu im</w:t>
            </w:r>
            <w:r>
              <w:rPr>
                <w:rFonts w:cs="Calibri"/>
                <w:i/>
                <w:sz w:val="20"/>
                <w:szCs w:val="20"/>
              </w:rPr>
              <w:t xml:space="preserve"> entsprechenden </w:t>
            </w:r>
            <w:r w:rsidRPr="0086722B">
              <w:rPr>
                <w:rFonts w:cs="Calibri"/>
                <w:i/>
                <w:sz w:val="20"/>
                <w:szCs w:val="20"/>
              </w:rPr>
              <w:t>Kapitel</w:t>
            </w:r>
          </w:p>
        </w:tc>
      </w:tr>
    </w:tbl>
    <w:p w:rsidR="0034169D" w:rsidRPr="0086722B" w:rsidRDefault="0034169D">
      <w:pPr>
        <w:rPr>
          <w:lang w:val="de-DE"/>
        </w:rPr>
      </w:pPr>
    </w:p>
    <w:sectPr w:rsidR="0034169D" w:rsidRPr="0086722B" w:rsidSect="00685476">
      <w:footerReference w:type="default" r:id="rId31"/>
      <w:pgSz w:w="11906" w:h="16838"/>
      <w:pgMar w:top="1438" w:right="1134" w:bottom="179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EF5" w:rsidRDefault="00D27EF5" w:rsidP="004D67C9">
      <w:pPr>
        <w:spacing w:before="0" w:after="0" w:line="240" w:lineRule="auto"/>
      </w:pPr>
      <w:r>
        <w:separator/>
      </w:r>
    </w:p>
  </w:endnote>
  <w:endnote w:type="continuationSeparator" w:id="0">
    <w:p w:rsidR="00D27EF5" w:rsidRDefault="00D27EF5" w:rsidP="004D67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Garamond">
    <w:panose1 w:val="020204040303010108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9D1" w:rsidRPr="00573288" w:rsidRDefault="006D69D1" w:rsidP="00DA02C6">
    <w:pPr>
      <w:pStyle w:val="Footer"/>
      <w:jc w:val="center"/>
      <w:rPr>
        <w:szCs w:val="20"/>
        <w:lang w:val="en-US"/>
      </w:rPr>
    </w:pPr>
    <w:r>
      <w:rPr>
        <w:szCs w:val="20"/>
        <w:lang w:val="en-US"/>
      </w:rPr>
      <w:t>page</w:t>
    </w:r>
    <w:r w:rsidRPr="00CE74BC">
      <w:rPr>
        <w:szCs w:val="20"/>
      </w:rPr>
      <w:t xml:space="preserve"> </w:t>
    </w:r>
    <w:r w:rsidRPr="00CE74BC">
      <w:rPr>
        <w:rStyle w:val="PageNumber"/>
        <w:szCs w:val="20"/>
      </w:rPr>
      <w:fldChar w:fldCharType="begin"/>
    </w:r>
    <w:r w:rsidRPr="00CE74BC">
      <w:rPr>
        <w:rStyle w:val="PageNumber"/>
        <w:szCs w:val="20"/>
      </w:rPr>
      <w:instrText xml:space="preserve"> PAGE </w:instrText>
    </w:r>
    <w:r w:rsidRPr="00CE74BC">
      <w:rPr>
        <w:rStyle w:val="PageNumber"/>
        <w:szCs w:val="20"/>
      </w:rPr>
      <w:fldChar w:fldCharType="separate"/>
    </w:r>
    <w:r>
      <w:rPr>
        <w:rStyle w:val="PageNumber"/>
        <w:noProof/>
        <w:szCs w:val="20"/>
      </w:rPr>
      <w:t>2</w:t>
    </w:r>
    <w:r w:rsidRPr="00CE74BC">
      <w:rPr>
        <w:rStyle w:val="PageNumber"/>
        <w:szCs w:val="20"/>
      </w:rPr>
      <w:fldChar w:fldCharType="end"/>
    </w:r>
    <w:r w:rsidRPr="00CE74BC">
      <w:rPr>
        <w:rStyle w:val="PageNumber"/>
        <w:szCs w:val="20"/>
      </w:rPr>
      <w:t xml:space="preserve"> </w:t>
    </w:r>
    <w:r>
      <w:rPr>
        <w:rStyle w:val="PageNumber"/>
        <w:szCs w:val="20"/>
        <w:lang w:val="en-US"/>
      </w:rPr>
      <w:t>/</w:t>
    </w:r>
    <w:r w:rsidRPr="00CE74BC">
      <w:rPr>
        <w:rStyle w:val="PageNumber"/>
        <w:szCs w:val="20"/>
      </w:rPr>
      <w:t xml:space="preserve"> </w:t>
    </w:r>
    <w:r w:rsidRPr="00CE74BC">
      <w:rPr>
        <w:rStyle w:val="PageNumber"/>
        <w:szCs w:val="20"/>
      </w:rPr>
      <w:fldChar w:fldCharType="begin"/>
    </w:r>
    <w:r w:rsidRPr="00CE74BC">
      <w:rPr>
        <w:rStyle w:val="PageNumber"/>
        <w:szCs w:val="20"/>
      </w:rPr>
      <w:instrText xml:space="preserve"> NUMPAGES </w:instrText>
    </w:r>
    <w:r w:rsidRPr="00CE74BC">
      <w:rPr>
        <w:rStyle w:val="PageNumber"/>
        <w:szCs w:val="20"/>
      </w:rPr>
      <w:fldChar w:fldCharType="separate"/>
    </w:r>
    <w:r>
      <w:rPr>
        <w:rStyle w:val="PageNumber"/>
        <w:noProof/>
        <w:szCs w:val="20"/>
      </w:rPr>
      <w:t>10</w:t>
    </w:r>
    <w:r w:rsidRPr="00CE74BC">
      <w:rPr>
        <w:rStyle w:val="PageNumber"/>
        <w:szCs w:val="20"/>
      </w:rPr>
      <w:fldChar w:fldCharType="end"/>
    </w:r>
  </w:p>
  <w:p w:rsidR="006D69D1" w:rsidRDefault="006D69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9D1" w:rsidRDefault="006D69D1" w:rsidP="001F336C">
    <w:pPr>
      <w:pStyle w:val="Footer"/>
      <w:jc w:val="center"/>
    </w:pPr>
    <w:r>
      <w:rPr>
        <w:lang w:val="en-US"/>
      </w:rPr>
      <w:t xml:space="preserve">page </w:t>
    </w:r>
    <w:r w:rsidRPr="00CE74BC">
      <w:rPr>
        <w:rStyle w:val="PageNumber"/>
        <w:szCs w:val="20"/>
      </w:rPr>
      <w:fldChar w:fldCharType="begin"/>
    </w:r>
    <w:r w:rsidRPr="00CE74BC">
      <w:rPr>
        <w:rStyle w:val="PageNumber"/>
        <w:szCs w:val="20"/>
      </w:rPr>
      <w:instrText xml:space="preserve"> PAGE </w:instrText>
    </w:r>
    <w:r w:rsidRPr="00CE74BC">
      <w:rPr>
        <w:rStyle w:val="PageNumber"/>
        <w:szCs w:val="20"/>
      </w:rPr>
      <w:fldChar w:fldCharType="separate"/>
    </w:r>
    <w:r w:rsidR="001E2038">
      <w:rPr>
        <w:rStyle w:val="PageNumber"/>
        <w:noProof/>
        <w:szCs w:val="20"/>
      </w:rPr>
      <w:t>2</w:t>
    </w:r>
    <w:r w:rsidRPr="00CE74BC">
      <w:rPr>
        <w:rStyle w:val="PageNumber"/>
        <w:szCs w:val="20"/>
      </w:rPr>
      <w:fldChar w:fldCharType="end"/>
    </w:r>
    <w:r w:rsidRPr="00CE74BC">
      <w:rPr>
        <w:rStyle w:val="PageNumber"/>
        <w:szCs w:val="20"/>
      </w:rPr>
      <w:t xml:space="preserve"> </w:t>
    </w:r>
    <w:r>
      <w:rPr>
        <w:rStyle w:val="PageNumber"/>
        <w:szCs w:val="20"/>
        <w:lang w:val="en-US"/>
      </w:rPr>
      <w:t>/</w:t>
    </w:r>
    <w:r w:rsidRPr="00CE74BC">
      <w:rPr>
        <w:rStyle w:val="PageNumber"/>
        <w:szCs w:val="20"/>
      </w:rPr>
      <w:t xml:space="preserve"> </w:t>
    </w:r>
    <w:r w:rsidRPr="00CE74BC">
      <w:rPr>
        <w:rStyle w:val="PageNumber"/>
        <w:szCs w:val="20"/>
      </w:rPr>
      <w:fldChar w:fldCharType="begin"/>
    </w:r>
    <w:r w:rsidRPr="00CE74BC">
      <w:rPr>
        <w:rStyle w:val="PageNumber"/>
        <w:szCs w:val="20"/>
      </w:rPr>
      <w:instrText xml:space="preserve"> NUMPAGES </w:instrText>
    </w:r>
    <w:r w:rsidRPr="00CE74BC">
      <w:rPr>
        <w:rStyle w:val="PageNumber"/>
        <w:szCs w:val="20"/>
      </w:rPr>
      <w:fldChar w:fldCharType="separate"/>
    </w:r>
    <w:r w:rsidR="001E2038">
      <w:rPr>
        <w:rStyle w:val="PageNumber"/>
        <w:noProof/>
        <w:szCs w:val="20"/>
      </w:rPr>
      <w:t>11</w:t>
    </w:r>
    <w:r w:rsidRPr="00CE74BC">
      <w:rPr>
        <w:rStyle w:val="PageNumber"/>
        <w:szCs w:val="20"/>
      </w:rPr>
      <w:fldChar w:fldCharType="end"/>
    </w:r>
  </w:p>
  <w:p w:rsidR="006D69D1" w:rsidRDefault="006D69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EF5" w:rsidRDefault="00D27EF5" w:rsidP="004D67C9">
      <w:pPr>
        <w:spacing w:before="0" w:after="0" w:line="240" w:lineRule="auto"/>
      </w:pPr>
      <w:r>
        <w:separator/>
      </w:r>
    </w:p>
  </w:footnote>
  <w:footnote w:type="continuationSeparator" w:id="0">
    <w:p w:rsidR="00D27EF5" w:rsidRDefault="00D27EF5" w:rsidP="004D67C9">
      <w:pPr>
        <w:spacing w:before="0" w:after="0" w:line="240" w:lineRule="auto"/>
      </w:pPr>
      <w:r>
        <w:continuationSeparator/>
      </w:r>
    </w:p>
  </w:footnote>
  <w:footnote w:id="1">
    <w:p w:rsidR="006D69D1" w:rsidRPr="005F6401" w:rsidRDefault="006D69D1">
      <w:pPr>
        <w:pStyle w:val="FootnoteText"/>
        <w:tabs>
          <w:tab w:val="left" w:pos="7230"/>
        </w:tabs>
        <w:rPr>
          <w:lang w:val="en-US"/>
        </w:rPr>
      </w:pPr>
      <w:r>
        <w:rPr>
          <w:rStyle w:val="FootnoteReference"/>
        </w:rPr>
        <w:footnoteRef/>
      </w:r>
      <w:r w:rsidRPr="0081422E">
        <w:rPr>
          <w:lang w:val="en-GB"/>
        </w:rPr>
        <w:t xml:space="preserve"> </w:t>
      </w:r>
      <w:r w:rsidRPr="000A3099">
        <w:rPr>
          <w:lang w:val="en-US"/>
        </w:rPr>
        <w:t>Antonio Augusto Cançado Trindade</w:t>
      </w:r>
      <w:r>
        <w:rPr>
          <w:lang w:val="en-US"/>
        </w:rPr>
        <w:t xml:space="preserve"> (</w:t>
      </w:r>
      <w:r w:rsidRPr="004644C5">
        <w:rPr>
          <w:lang w:val="en-US"/>
        </w:rPr>
        <w:t>1987) Co-existence and Co-ordination of Mechanisms of International Protection of Human Rights (at Global and Regional Levels) 202</w:t>
      </w:r>
      <w:r>
        <w:rPr>
          <w:lang w:val="en-US"/>
        </w:rPr>
        <w:t xml:space="preserve"> </w:t>
      </w:r>
      <w:r w:rsidRPr="004644C5">
        <w:rPr>
          <w:i/>
          <w:lang w:val="en-US"/>
        </w:rPr>
        <w:t xml:space="preserve">Collected Courses of </w:t>
      </w:r>
      <w:smartTag w:uri="urn:schemas-microsoft-com:office:smarttags" w:element="place">
        <w:smartTag w:uri="urn:schemas-microsoft-com:office:smarttags" w:element="PlaceName">
          <w:r w:rsidRPr="004644C5">
            <w:rPr>
              <w:i/>
              <w:lang w:val="en-US"/>
            </w:rPr>
            <w:t>The Hague</w:t>
          </w:r>
        </w:smartTag>
        <w:r w:rsidRPr="004644C5">
          <w:rPr>
            <w:i/>
            <w:lang w:val="en-US"/>
          </w:rPr>
          <w:t xml:space="preserve"> </w:t>
        </w:r>
        <w:smartTag w:uri="urn:schemas-microsoft-com:office:smarttags" w:element="PlaceType">
          <w:r w:rsidRPr="004644C5">
            <w:rPr>
              <w:i/>
              <w:lang w:val="en-US"/>
            </w:rPr>
            <w:t>Academy</w:t>
          </w:r>
        </w:smartTag>
      </w:smartTag>
      <w:r w:rsidRPr="004644C5">
        <w:rPr>
          <w:i/>
          <w:lang w:val="en-US"/>
        </w:rPr>
        <w:t xml:space="preserve"> of International Law</w:t>
      </w:r>
      <w:r>
        <w:rPr>
          <w:lang w:val="en-US"/>
        </w:rPr>
        <w:t xml:space="preserve"> 1-435, </w:t>
      </w:r>
      <w:r w:rsidRPr="000A3099">
        <w:rPr>
          <w:lang w:val="en-US"/>
        </w:rPr>
        <w:t>34</w:t>
      </w:r>
      <w:r>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E278B"/>
    <w:multiLevelType w:val="hybridMultilevel"/>
    <w:tmpl w:val="9F90D8D4"/>
    <w:lvl w:ilvl="0" w:tplc="72F6AA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51014"/>
    <w:multiLevelType w:val="hybridMultilevel"/>
    <w:tmpl w:val="E1088FE8"/>
    <w:lvl w:ilvl="0" w:tplc="72F6AA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B5B0E"/>
    <w:multiLevelType w:val="hybridMultilevel"/>
    <w:tmpl w:val="8A9C1A8E"/>
    <w:lvl w:ilvl="0" w:tplc="72F6AA70">
      <w:start w:val="1"/>
      <w:numFmt w:val="bullet"/>
      <w:lvlText w:val="»"/>
      <w:lvlJc w:val="left"/>
      <w:pPr>
        <w:ind w:left="1123" w:hanging="360"/>
      </w:pPr>
      <w:rPr>
        <w:rFonts w:ascii="Calibri" w:hAnsi="Calibri" w:hint="default"/>
      </w:rPr>
    </w:lvl>
    <w:lvl w:ilvl="1" w:tplc="0C070003">
      <w:start w:val="1"/>
      <w:numFmt w:val="bullet"/>
      <w:lvlText w:val="o"/>
      <w:lvlJc w:val="left"/>
      <w:pPr>
        <w:ind w:left="1843" w:hanging="360"/>
      </w:pPr>
      <w:rPr>
        <w:rFonts w:ascii="Courier New" w:hAnsi="Courier New" w:hint="default"/>
      </w:rPr>
    </w:lvl>
    <w:lvl w:ilvl="2" w:tplc="0C070005" w:tentative="1">
      <w:start w:val="1"/>
      <w:numFmt w:val="bullet"/>
      <w:lvlText w:val=""/>
      <w:lvlJc w:val="left"/>
      <w:pPr>
        <w:ind w:left="2563" w:hanging="360"/>
      </w:pPr>
      <w:rPr>
        <w:rFonts w:ascii="Wingdings" w:hAnsi="Wingdings" w:hint="default"/>
      </w:rPr>
    </w:lvl>
    <w:lvl w:ilvl="3" w:tplc="0C070001" w:tentative="1">
      <w:start w:val="1"/>
      <w:numFmt w:val="bullet"/>
      <w:lvlText w:val=""/>
      <w:lvlJc w:val="left"/>
      <w:pPr>
        <w:ind w:left="3283" w:hanging="360"/>
      </w:pPr>
      <w:rPr>
        <w:rFonts w:ascii="Symbol" w:hAnsi="Symbol" w:hint="default"/>
      </w:rPr>
    </w:lvl>
    <w:lvl w:ilvl="4" w:tplc="0C070003" w:tentative="1">
      <w:start w:val="1"/>
      <w:numFmt w:val="bullet"/>
      <w:lvlText w:val="o"/>
      <w:lvlJc w:val="left"/>
      <w:pPr>
        <w:ind w:left="4003" w:hanging="360"/>
      </w:pPr>
      <w:rPr>
        <w:rFonts w:ascii="Courier New" w:hAnsi="Courier New" w:hint="default"/>
      </w:rPr>
    </w:lvl>
    <w:lvl w:ilvl="5" w:tplc="0C070005" w:tentative="1">
      <w:start w:val="1"/>
      <w:numFmt w:val="bullet"/>
      <w:lvlText w:val=""/>
      <w:lvlJc w:val="left"/>
      <w:pPr>
        <w:ind w:left="4723" w:hanging="360"/>
      </w:pPr>
      <w:rPr>
        <w:rFonts w:ascii="Wingdings" w:hAnsi="Wingdings" w:hint="default"/>
      </w:rPr>
    </w:lvl>
    <w:lvl w:ilvl="6" w:tplc="0C070001" w:tentative="1">
      <w:start w:val="1"/>
      <w:numFmt w:val="bullet"/>
      <w:lvlText w:val=""/>
      <w:lvlJc w:val="left"/>
      <w:pPr>
        <w:ind w:left="5443" w:hanging="360"/>
      </w:pPr>
      <w:rPr>
        <w:rFonts w:ascii="Symbol" w:hAnsi="Symbol" w:hint="default"/>
      </w:rPr>
    </w:lvl>
    <w:lvl w:ilvl="7" w:tplc="0C070003" w:tentative="1">
      <w:start w:val="1"/>
      <w:numFmt w:val="bullet"/>
      <w:lvlText w:val="o"/>
      <w:lvlJc w:val="left"/>
      <w:pPr>
        <w:ind w:left="6163" w:hanging="360"/>
      </w:pPr>
      <w:rPr>
        <w:rFonts w:ascii="Courier New" w:hAnsi="Courier New" w:hint="default"/>
      </w:rPr>
    </w:lvl>
    <w:lvl w:ilvl="8" w:tplc="0C070005" w:tentative="1">
      <w:start w:val="1"/>
      <w:numFmt w:val="bullet"/>
      <w:lvlText w:val=""/>
      <w:lvlJc w:val="left"/>
      <w:pPr>
        <w:ind w:left="6883" w:hanging="360"/>
      </w:pPr>
      <w:rPr>
        <w:rFonts w:ascii="Wingdings" w:hAnsi="Wingdings" w:hint="default"/>
      </w:rPr>
    </w:lvl>
  </w:abstractNum>
  <w:abstractNum w:abstractNumId="3">
    <w:nsid w:val="30F20020"/>
    <w:multiLevelType w:val="hybridMultilevel"/>
    <w:tmpl w:val="E9F02446"/>
    <w:lvl w:ilvl="0" w:tplc="918C129A">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2511F6"/>
    <w:multiLevelType w:val="hybridMultilevel"/>
    <w:tmpl w:val="8126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AE1ED0"/>
    <w:multiLevelType w:val="hybridMultilevel"/>
    <w:tmpl w:val="80FA9F1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8BF6036"/>
    <w:multiLevelType w:val="hybridMultilevel"/>
    <w:tmpl w:val="607A9D46"/>
    <w:lvl w:ilvl="0" w:tplc="72F6AA70">
      <w:start w:val="1"/>
      <w:numFmt w:val="bullet"/>
      <w:lvlText w:val="»"/>
      <w:lvlJc w:val="left"/>
      <w:pPr>
        <w:ind w:left="780" w:hanging="360"/>
      </w:pPr>
      <w:rPr>
        <w:rFonts w:ascii="Calibri" w:hAnsi="Calibri"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5A5A792D"/>
    <w:multiLevelType w:val="hybridMultilevel"/>
    <w:tmpl w:val="23FAA17C"/>
    <w:lvl w:ilvl="0" w:tplc="72F6AA70">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DB2817"/>
    <w:multiLevelType w:val="hybridMultilevel"/>
    <w:tmpl w:val="7152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64763D"/>
    <w:multiLevelType w:val="hybridMultilevel"/>
    <w:tmpl w:val="E1EA8C1C"/>
    <w:lvl w:ilvl="0" w:tplc="A1A4777E">
      <w:start w:val="1"/>
      <w:numFmt w:val="bullet"/>
      <w:lvlText w:val="»"/>
      <w:lvlJc w:val="left"/>
      <w:pPr>
        <w:ind w:left="1033" w:hanging="360"/>
      </w:pPr>
      <w:rPr>
        <w:rFonts w:ascii="Calibri" w:hAnsi="Calibri" w:hint="default"/>
      </w:rPr>
    </w:lvl>
    <w:lvl w:ilvl="1" w:tplc="04090003" w:tentative="1">
      <w:start w:val="1"/>
      <w:numFmt w:val="bullet"/>
      <w:lvlText w:val="o"/>
      <w:lvlJc w:val="left"/>
      <w:pPr>
        <w:ind w:left="1753" w:hanging="360"/>
      </w:pPr>
      <w:rPr>
        <w:rFonts w:ascii="Courier New" w:hAnsi="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hint="default"/>
      </w:rPr>
    </w:lvl>
    <w:lvl w:ilvl="8" w:tplc="04090005" w:tentative="1">
      <w:start w:val="1"/>
      <w:numFmt w:val="bullet"/>
      <w:lvlText w:val=""/>
      <w:lvlJc w:val="left"/>
      <w:pPr>
        <w:ind w:left="6793" w:hanging="360"/>
      </w:pPr>
      <w:rPr>
        <w:rFonts w:ascii="Wingdings" w:hAnsi="Wingdings" w:hint="default"/>
      </w:rPr>
    </w:lvl>
  </w:abstractNum>
  <w:num w:numId="1">
    <w:abstractNumId w:val="3"/>
  </w:num>
  <w:num w:numId="2">
    <w:abstractNumId w:val="7"/>
  </w:num>
  <w:num w:numId="3">
    <w:abstractNumId w:val="2"/>
  </w:num>
  <w:num w:numId="4">
    <w:abstractNumId w:val="5"/>
  </w:num>
  <w:num w:numId="5">
    <w:abstractNumId w:val="8"/>
  </w:num>
  <w:num w:numId="6">
    <w:abstractNumId w:val="4"/>
  </w:num>
  <w:num w:numId="7">
    <w:abstractNumId w:val="9"/>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EE2F6FF-8A55-4CBD-A367-E1B8F0224624}"/>
    <w:docVar w:name="dgnword-eventsink" w:val="263717536"/>
  </w:docVars>
  <w:rsids>
    <w:rsidRoot w:val="004D67C9"/>
    <w:rsid w:val="00025B2A"/>
    <w:rsid w:val="000364B9"/>
    <w:rsid w:val="0004736A"/>
    <w:rsid w:val="000569C0"/>
    <w:rsid w:val="000611F9"/>
    <w:rsid w:val="000A3099"/>
    <w:rsid w:val="000D2B3B"/>
    <w:rsid w:val="0013597B"/>
    <w:rsid w:val="00157F26"/>
    <w:rsid w:val="00161483"/>
    <w:rsid w:val="00176BD1"/>
    <w:rsid w:val="00190B32"/>
    <w:rsid w:val="001B2E12"/>
    <w:rsid w:val="001C6F2C"/>
    <w:rsid w:val="001E2038"/>
    <w:rsid w:val="001F336C"/>
    <w:rsid w:val="00243D0B"/>
    <w:rsid w:val="002900D7"/>
    <w:rsid w:val="002A3956"/>
    <w:rsid w:val="002A4A29"/>
    <w:rsid w:val="002F619C"/>
    <w:rsid w:val="0034169D"/>
    <w:rsid w:val="00361098"/>
    <w:rsid w:val="0036132A"/>
    <w:rsid w:val="003644A7"/>
    <w:rsid w:val="00396709"/>
    <w:rsid w:val="003B7CF0"/>
    <w:rsid w:val="003C2028"/>
    <w:rsid w:val="00401B14"/>
    <w:rsid w:val="0044770D"/>
    <w:rsid w:val="004644C5"/>
    <w:rsid w:val="004A4282"/>
    <w:rsid w:val="004D1CE6"/>
    <w:rsid w:val="004D67C9"/>
    <w:rsid w:val="004D7356"/>
    <w:rsid w:val="005062CF"/>
    <w:rsid w:val="005208F2"/>
    <w:rsid w:val="00527594"/>
    <w:rsid w:val="00546BEA"/>
    <w:rsid w:val="00573288"/>
    <w:rsid w:val="005816B9"/>
    <w:rsid w:val="005A6499"/>
    <w:rsid w:val="005D5C93"/>
    <w:rsid w:val="005E2A25"/>
    <w:rsid w:val="005F6401"/>
    <w:rsid w:val="00615367"/>
    <w:rsid w:val="00624D24"/>
    <w:rsid w:val="00634CBC"/>
    <w:rsid w:val="00642339"/>
    <w:rsid w:val="00656624"/>
    <w:rsid w:val="00661AF5"/>
    <w:rsid w:val="00685476"/>
    <w:rsid w:val="006B4B67"/>
    <w:rsid w:val="006B794B"/>
    <w:rsid w:val="006D69D1"/>
    <w:rsid w:val="006E0E91"/>
    <w:rsid w:val="006E686D"/>
    <w:rsid w:val="006F3C63"/>
    <w:rsid w:val="006F6E7D"/>
    <w:rsid w:val="007152CB"/>
    <w:rsid w:val="00753DDD"/>
    <w:rsid w:val="00761F91"/>
    <w:rsid w:val="00786F17"/>
    <w:rsid w:val="007B0056"/>
    <w:rsid w:val="007D1DD3"/>
    <w:rsid w:val="0081422E"/>
    <w:rsid w:val="0085795F"/>
    <w:rsid w:val="00862ACC"/>
    <w:rsid w:val="0086722B"/>
    <w:rsid w:val="008E257D"/>
    <w:rsid w:val="008F32CB"/>
    <w:rsid w:val="00937AC1"/>
    <w:rsid w:val="0094019F"/>
    <w:rsid w:val="00981628"/>
    <w:rsid w:val="009970D5"/>
    <w:rsid w:val="009C4FE0"/>
    <w:rsid w:val="009F29B8"/>
    <w:rsid w:val="00A712C5"/>
    <w:rsid w:val="00A93813"/>
    <w:rsid w:val="00AB763B"/>
    <w:rsid w:val="00B107A2"/>
    <w:rsid w:val="00B3460F"/>
    <w:rsid w:val="00B3495F"/>
    <w:rsid w:val="00B37ECF"/>
    <w:rsid w:val="00B42032"/>
    <w:rsid w:val="00BE1A1E"/>
    <w:rsid w:val="00BF539E"/>
    <w:rsid w:val="00C41E4A"/>
    <w:rsid w:val="00C702EA"/>
    <w:rsid w:val="00C975EC"/>
    <w:rsid w:val="00CB3F05"/>
    <w:rsid w:val="00CC5ED4"/>
    <w:rsid w:val="00CE5429"/>
    <w:rsid w:val="00CE74BC"/>
    <w:rsid w:val="00CF1C2F"/>
    <w:rsid w:val="00D00DA5"/>
    <w:rsid w:val="00D03975"/>
    <w:rsid w:val="00D27EF5"/>
    <w:rsid w:val="00D66FAF"/>
    <w:rsid w:val="00D76008"/>
    <w:rsid w:val="00DA02C6"/>
    <w:rsid w:val="00DA29FF"/>
    <w:rsid w:val="00DB0E87"/>
    <w:rsid w:val="00DF7E34"/>
    <w:rsid w:val="00E02A53"/>
    <w:rsid w:val="00E11154"/>
    <w:rsid w:val="00E2291D"/>
    <w:rsid w:val="00E26DFE"/>
    <w:rsid w:val="00E44D6B"/>
    <w:rsid w:val="00E64E14"/>
    <w:rsid w:val="00EA4DEA"/>
    <w:rsid w:val="00EE24BF"/>
    <w:rsid w:val="00EE2926"/>
    <w:rsid w:val="00EE6F6F"/>
    <w:rsid w:val="00EE7239"/>
    <w:rsid w:val="00EE7B0B"/>
    <w:rsid w:val="00F1047C"/>
    <w:rsid w:val="00F11535"/>
    <w:rsid w:val="00FB58E5"/>
    <w:rsid w:val="00FC1388"/>
    <w:rsid w:val="00FD36B6"/>
    <w:rsid w:val="00FE5DDF"/>
    <w:rsid w:val="00FF09F7"/>
    <w:rsid w:val="00FF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FB99F065-DEB7-4025-A592-E5264D13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7C9"/>
    <w:pPr>
      <w:spacing w:before="120" w:after="120" w:line="360" w:lineRule="auto"/>
    </w:pPr>
    <w:rPr>
      <w:rFonts w:eastAsia="Times New Roman"/>
      <w:szCs w:val="24"/>
      <w:lang w:val="el-GR" w:eastAsia="el-GR"/>
    </w:rPr>
  </w:style>
  <w:style w:type="paragraph" w:styleId="Heading1">
    <w:name w:val="heading 1"/>
    <w:basedOn w:val="Normal"/>
    <w:next w:val="Normal"/>
    <w:link w:val="Heading1Char"/>
    <w:uiPriority w:val="99"/>
    <w:qFormat/>
    <w:rsid w:val="004D67C9"/>
    <w:pPr>
      <w:keepNext/>
      <w:spacing w:before="240" w:after="60" w:line="276" w:lineRule="auto"/>
      <w:outlineLvl w:val="0"/>
    </w:pPr>
    <w:rPr>
      <w:rFonts w:ascii="Cambria" w:hAnsi="Cambria"/>
      <w:b/>
      <w:bCs/>
      <w:kern w:val="32"/>
      <w:sz w:val="32"/>
      <w:szCs w:val="32"/>
      <w:lang w:val="de-DE" w:eastAsia="en-US"/>
    </w:rPr>
  </w:style>
  <w:style w:type="paragraph" w:styleId="Heading2">
    <w:name w:val="heading 2"/>
    <w:basedOn w:val="Normal"/>
    <w:next w:val="Normal"/>
    <w:link w:val="Heading2Char"/>
    <w:uiPriority w:val="99"/>
    <w:qFormat/>
    <w:rsid w:val="00F1047C"/>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67C9"/>
    <w:rPr>
      <w:rFonts w:ascii="Cambria" w:hAnsi="Cambria" w:cs="Times New Roman"/>
      <w:b/>
      <w:bCs/>
      <w:kern w:val="32"/>
      <w:sz w:val="32"/>
      <w:szCs w:val="32"/>
      <w:lang w:val="de-DE"/>
    </w:rPr>
  </w:style>
  <w:style w:type="character" w:customStyle="1" w:styleId="Heading2Char">
    <w:name w:val="Heading 2 Char"/>
    <w:basedOn w:val="DefaultParagraphFont"/>
    <w:link w:val="Heading2"/>
    <w:uiPriority w:val="99"/>
    <w:locked/>
    <w:rsid w:val="00F1047C"/>
    <w:rPr>
      <w:rFonts w:ascii="Cambria" w:hAnsi="Cambria" w:cs="Times New Roman"/>
      <w:b/>
      <w:bCs/>
      <w:color w:val="4F81BD"/>
      <w:sz w:val="26"/>
      <w:szCs w:val="26"/>
      <w:lang w:eastAsia="el-GR"/>
    </w:rPr>
  </w:style>
  <w:style w:type="paragraph" w:styleId="Footer">
    <w:name w:val="footer"/>
    <w:basedOn w:val="Normal"/>
    <w:link w:val="FooterChar"/>
    <w:uiPriority w:val="99"/>
    <w:rsid w:val="004D67C9"/>
    <w:pPr>
      <w:tabs>
        <w:tab w:val="center" w:pos="4153"/>
        <w:tab w:val="right" w:pos="8306"/>
      </w:tabs>
    </w:pPr>
  </w:style>
  <w:style w:type="character" w:customStyle="1" w:styleId="FooterChar">
    <w:name w:val="Footer Char"/>
    <w:basedOn w:val="DefaultParagraphFont"/>
    <w:link w:val="Footer"/>
    <w:uiPriority w:val="99"/>
    <w:locked/>
    <w:rsid w:val="004D67C9"/>
    <w:rPr>
      <w:rFonts w:ascii="Calibri" w:hAnsi="Calibri" w:cs="Times New Roman"/>
      <w:sz w:val="24"/>
      <w:szCs w:val="24"/>
      <w:lang w:eastAsia="el-GR"/>
    </w:rPr>
  </w:style>
  <w:style w:type="character" w:styleId="PageNumber">
    <w:name w:val="page number"/>
    <w:basedOn w:val="DefaultParagraphFont"/>
    <w:uiPriority w:val="99"/>
    <w:rsid w:val="004D67C9"/>
    <w:rPr>
      <w:rFonts w:cs="Times New Roman"/>
    </w:rPr>
  </w:style>
  <w:style w:type="table" w:styleId="TableGrid">
    <w:name w:val="Table Grid"/>
    <w:basedOn w:val="TableNormal"/>
    <w:uiPriority w:val="99"/>
    <w:rsid w:val="004D67C9"/>
    <w:rPr>
      <w:rFonts w:ascii="Times New Roman" w:eastAsia="Times New Roman" w:hAnsi="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itle">
    <w:name w:val="Main Title"/>
    <w:basedOn w:val="Normal"/>
    <w:rsid w:val="004D67C9"/>
    <w:pPr>
      <w:spacing w:line="240" w:lineRule="auto"/>
      <w:jc w:val="center"/>
    </w:pPr>
    <w:rPr>
      <w:rFonts w:ascii="Garamond" w:hAnsi="Garamond"/>
      <w:b/>
      <w:color w:val="404040"/>
      <w:spacing w:val="40"/>
      <w:sz w:val="40"/>
      <w:u w:color="D9D9D9"/>
    </w:rPr>
  </w:style>
  <w:style w:type="character" w:styleId="Hyperlink">
    <w:name w:val="Hyperlink"/>
    <w:basedOn w:val="DefaultParagraphFont"/>
    <w:uiPriority w:val="99"/>
    <w:rsid w:val="004D67C9"/>
    <w:rPr>
      <w:rFonts w:cs="Times New Roman"/>
      <w:color w:val="0000FF"/>
      <w:u w:val="single"/>
    </w:rPr>
  </w:style>
  <w:style w:type="paragraph" w:styleId="TOC1">
    <w:name w:val="toc 1"/>
    <w:basedOn w:val="Normal"/>
    <w:next w:val="Normal"/>
    <w:autoRedefine/>
    <w:uiPriority w:val="39"/>
    <w:rsid w:val="004D67C9"/>
    <w:rPr>
      <w:rFonts w:ascii="Tahoma" w:hAnsi="Tahoma"/>
      <w:b/>
      <w:bCs/>
      <w:color w:val="595959"/>
      <w:szCs w:val="20"/>
    </w:rPr>
  </w:style>
  <w:style w:type="paragraph" w:customStyle="1" w:styleId="StyleTitleTOC">
    <w:name w:val="Style Title TOC"/>
    <w:basedOn w:val="Normal"/>
    <w:uiPriority w:val="99"/>
    <w:rsid w:val="004D67C9"/>
    <w:pPr>
      <w:jc w:val="center"/>
    </w:pPr>
    <w:rPr>
      <w:b/>
    </w:rPr>
  </w:style>
  <w:style w:type="paragraph" w:styleId="BalloonText">
    <w:name w:val="Balloon Text"/>
    <w:basedOn w:val="Normal"/>
    <w:link w:val="BalloonTextChar"/>
    <w:uiPriority w:val="99"/>
    <w:semiHidden/>
    <w:rsid w:val="004D67C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67C9"/>
    <w:rPr>
      <w:rFonts w:ascii="Tahoma" w:hAnsi="Tahoma" w:cs="Tahoma"/>
      <w:sz w:val="16"/>
      <w:szCs w:val="16"/>
      <w:lang w:eastAsia="el-GR"/>
    </w:rPr>
  </w:style>
  <w:style w:type="paragraph" w:styleId="BodyText">
    <w:name w:val="Body Text"/>
    <w:basedOn w:val="Normal"/>
    <w:link w:val="BodyTextChar"/>
    <w:uiPriority w:val="99"/>
    <w:rsid w:val="004D67C9"/>
    <w:pPr>
      <w:spacing w:before="0" w:line="276" w:lineRule="auto"/>
    </w:pPr>
    <w:rPr>
      <w:rFonts w:eastAsia="Calibri"/>
      <w:szCs w:val="22"/>
      <w:lang w:val="de-DE" w:eastAsia="en-US"/>
    </w:rPr>
  </w:style>
  <w:style w:type="character" w:customStyle="1" w:styleId="BodyTextChar">
    <w:name w:val="Body Text Char"/>
    <w:basedOn w:val="DefaultParagraphFont"/>
    <w:link w:val="BodyText"/>
    <w:uiPriority w:val="99"/>
    <w:locked/>
    <w:rsid w:val="004D67C9"/>
    <w:rPr>
      <w:rFonts w:ascii="Calibri" w:hAnsi="Calibri" w:cs="Times New Roman"/>
      <w:lang w:val="de-DE"/>
    </w:rPr>
  </w:style>
  <w:style w:type="paragraph" w:styleId="ListParagraph">
    <w:name w:val="List Paragraph"/>
    <w:basedOn w:val="Normal"/>
    <w:uiPriority w:val="99"/>
    <w:qFormat/>
    <w:rsid w:val="004D67C9"/>
    <w:pPr>
      <w:spacing w:before="0" w:after="200" w:line="276" w:lineRule="auto"/>
      <w:ind w:left="720"/>
      <w:contextualSpacing/>
    </w:pPr>
    <w:rPr>
      <w:rFonts w:eastAsia="Calibri"/>
      <w:szCs w:val="22"/>
      <w:lang w:val="de-DE" w:eastAsia="en-US"/>
    </w:rPr>
  </w:style>
  <w:style w:type="paragraph" w:styleId="FootnoteText">
    <w:name w:val="footnote text"/>
    <w:basedOn w:val="Normal"/>
    <w:link w:val="FootnoteTextChar"/>
    <w:uiPriority w:val="99"/>
    <w:semiHidden/>
    <w:rsid w:val="004D67C9"/>
    <w:pPr>
      <w:spacing w:before="0" w:after="0" w:line="240" w:lineRule="auto"/>
    </w:pPr>
    <w:rPr>
      <w:rFonts w:eastAsia="Calibri"/>
      <w:sz w:val="20"/>
      <w:szCs w:val="20"/>
      <w:lang w:val="de-DE" w:eastAsia="en-US"/>
    </w:rPr>
  </w:style>
  <w:style w:type="character" w:customStyle="1" w:styleId="FootnoteTextChar">
    <w:name w:val="Footnote Text Char"/>
    <w:basedOn w:val="DefaultParagraphFont"/>
    <w:link w:val="FootnoteText"/>
    <w:uiPriority w:val="99"/>
    <w:semiHidden/>
    <w:locked/>
    <w:rsid w:val="004D67C9"/>
    <w:rPr>
      <w:rFonts w:ascii="Calibri" w:hAnsi="Calibri" w:cs="Times New Roman"/>
      <w:sz w:val="20"/>
      <w:szCs w:val="20"/>
      <w:lang w:val="de-DE"/>
    </w:rPr>
  </w:style>
  <w:style w:type="character" w:styleId="FootnoteReference">
    <w:name w:val="footnote reference"/>
    <w:basedOn w:val="DefaultParagraphFont"/>
    <w:uiPriority w:val="99"/>
    <w:semiHidden/>
    <w:rsid w:val="004D67C9"/>
    <w:rPr>
      <w:rFonts w:cs="Times New Roman"/>
      <w:vertAlign w:val="superscript"/>
    </w:rPr>
  </w:style>
  <w:style w:type="paragraph" w:styleId="Quote">
    <w:name w:val="Quote"/>
    <w:basedOn w:val="Normal"/>
    <w:next w:val="Normal"/>
    <w:link w:val="QuoteChar"/>
    <w:uiPriority w:val="99"/>
    <w:qFormat/>
    <w:rsid w:val="004D67C9"/>
    <w:pPr>
      <w:spacing w:before="0" w:after="200" w:line="276" w:lineRule="auto"/>
    </w:pPr>
    <w:rPr>
      <w:rFonts w:eastAsia="Calibri"/>
      <w:i/>
      <w:iCs/>
      <w:color w:val="000000"/>
      <w:szCs w:val="22"/>
      <w:lang w:val="en-GB" w:eastAsia="en-US"/>
    </w:rPr>
  </w:style>
  <w:style w:type="character" w:customStyle="1" w:styleId="QuoteChar">
    <w:name w:val="Quote Char"/>
    <w:basedOn w:val="DefaultParagraphFont"/>
    <w:link w:val="Quote"/>
    <w:uiPriority w:val="99"/>
    <w:locked/>
    <w:rsid w:val="004D67C9"/>
    <w:rPr>
      <w:rFonts w:ascii="Calibri" w:hAnsi="Calibri" w:cs="Times New Roman"/>
      <w:i/>
      <w:iCs/>
      <w:color w:val="000000"/>
      <w:lang w:val="en-GB"/>
    </w:rPr>
  </w:style>
  <w:style w:type="character" w:styleId="Emphasis">
    <w:name w:val="Emphasis"/>
    <w:basedOn w:val="DefaultParagraphFont"/>
    <w:uiPriority w:val="99"/>
    <w:qFormat/>
    <w:rsid w:val="004D67C9"/>
    <w:rPr>
      <w:rFonts w:cs="Times New Roman"/>
      <w:i/>
      <w:iCs/>
    </w:rPr>
  </w:style>
  <w:style w:type="character" w:customStyle="1" w:styleId="apple-converted-space">
    <w:name w:val="apple-converted-space"/>
    <w:basedOn w:val="DefaultParagraphFont"/>
    <w:uiPriority w:val="99"/>
    <w:rsid w:val="004D67C9"/>
    <w:rPr>
      <w:rFonts w:cs="Times New Roman"/>
    </w:rPr>
  </w:style>
  <w:style w:type="paragraph" w:styleId="TOC2">
    <w:name w:val="toc 2"/>
    <w:basedOn w:val="Normal"/>
    <w:next w:val="Normal"/>
    <w:autoRedefine/>
    <w:uiPriority w:val="39"/>
    <w:rsid w:val="00546BEA"/>
    <w:pPr>
      <w:spacing w:after="100"/>
      <w:ind w:left="220"/>
    </w:pPr>
  </w:style>
  <w:style w:type="character" w:styleId="FollowedHyperlink">
    <w:name w:val="FollowedHyperlink"/>
    <w:basedOn w:val="DefaultParagraphFont"/>
    <w:uiPriority w:val="99"/>
    <w:semiHidden/>
    <w:rsid w:val="00DB0E87"/>
    <w:rPr>
      <w:rFonts w:cs="Times New Roman"/>
      <w:color w:val="800080"/>
      <w:u w:val="single"/>
    </w:rPr>
  </w:style>
  <w:style w:type="character" w:styleId="CommentReference">
    <w:name w:val="annotation reference"/>
    <w:basedOn w:val="DefaultParagraphFont"/>
    <w:uiPriority w:val="99"/>
    <w:semiHidden/>
    <w:rsid w:val="00D03975"/>
    <w:rPr>
      <w:rFonts w:cs="Times New Roman"/>
      <w:sz w:val="16"/>
      <w:szCs w:val="16"/>
    </w:rPr>
  </w:style>
  <w:style w:type="paragraph" w:styleId="CommentText">
    <w:name w:val="annotation text"/>
    <w:basedOn w:val="Normal"/>
    <w:link w:val="CommentTextChar"/>
    <w:uiPriority w:val="99"/>
    <w:semiHidden/>
    <w:rsid w:val="00D03975"/>
    <w:rPr>
      <w:sz w:val="20"/>
      <w:szCs w:val="20"/>
    </w:rPr>
  </w:style>
  <w:style w:type="character" w:customStyle="1" w:styleId="CommentTextChar">
    <w:name w:val="Comment Text Char"/>
    <w:basedOn w:val="DefaultParagraphFont"/>
    <w:link w:val="CommentText"/>
    <w:uiPriority w:val="99"/>
    <w:semiHidden/>
    <w:locked/>
    <w:rsid w:val="00615367"/>
    <w:rPr>
      <w:rFonts w:eastAsia="Times New Roman" w:cs="Times New Roman"/>
      <w:sz w:val="20"/>
      <w:szCs w:val="20"/>
      <w:lang w:val="el-GR" w:eastAsia="el-GR"/>
    </w:rPr>
  </w:style>
  <w:style w:type="paragraph" w:styleId="CommentSubject">
    <w:name w:val="annotation subject"/>
    <w:basedOn w:val="CommentText"/>
    <w:next w:val="CommentText"/>
    <w:link w:val="CommentSubjectChar"/>
    <w:uiPriority w:val="99"/>
    <w:semiHidden/>
    <w:rsid w:val="00D03975"/>
    <w:rPr>
      <w:b/>
      <w:bCs/>
    </w:rPr>
  </w:style>
  <w:style w:type="character" w:customStyle="1" w:styleId="CommentSubjectChar">
    <w:name w:val="Comment Subject Char"/>
    <w:basedOn w:val="CommentTextChar"/>
    <w:link w:val="CommentSubject"/>
    <w:uiPriority w:val="99"/>
    <w:semiHidden/>
    <w:locked/>
    <w:rsid w:val="00615367"/>
    <w:rPr>
      <w:rFonts w:eastAsia="Times New Roman" w:cs="Times New Roman"/>
      <w:b/>
      <w:bCs/>
      <w:sz w:val="20"/>
      <w:szCs w:val="20"/>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reativecommons.org/licenses/by-nc-nd/3.0/" TargetMode="External"/><Relationship Id="rId18" Type="http://schemas.openxmlformats.org/officeDocument/2006/relationships/image" Target="media/image3.jpeg"/><Relationship Id="rId26" Type="http://schemas.openxmlformats.org/officeDocument/2006/relationships/hyperlink" Target="http://www2.ohchr.org/english/law/ccpr-one.htm" TargetMode="External"/><Relationship Id="rId3" Type="http://schemas.openxmlformats.org/officeDocument/2006/relationships/settings" Target="settings.xml"/><Relationship Id="rId21" Type="http://schemas.openxmlformats.org/officeDocument/2006/relationships/hyperlink" Target="http://www2.ohchr.org/english/law/cescr.htm" TargetMode="External"/><Relationship Id="rId7" Type="http://schemas.openxmlformats.org/officeDocument/2006/relationships/image" Target="media/image1.png"/><Relationship Id="rId12" Type="http://schemas.openxmlformats.org/officeDocument/2006/relationships/hyperlink" Target="http://creativecommons.org/licenses/by-nc-nd/3.0/" TargetMode="External"/><Relationship Id="rId17" Type="http://schemas.openxmlformats.org/officeDocument/2006/relationships/image" Target="media/image2.png"/><Relationship Id="rId25" Type="http://schemas.openxmlformats.org/officeDocument/2006/relationships/hyperlink" Target="http://www2.ohchr.org/english/law/cerd.ht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reativecommons.org/licenses/by-" TargetMode="External"/><Relationship Id="rId20" Type="http://schemas.openxmlformats.org/officeDocument/2006/relationships/hyperlink" Target="http://www2.ohchr.org/english/law/ccpr.htm" TargetMode="External"/><Relationship Id="rId29" Type="http://schemas.openxmlformats.org/officeDocument/2006/relationships/hyperlink" Target="http://www.icty.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nc-nd/3.0/" TargetMode="External"/><Relationship Id="rId24" Type="http://schemas.openxmlformats.org/officeDocument/2006/relationships/hyperlink" Target="http://www2.ohchr.org/english/law/crc.ht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reativecommons.org/licenses/by-nc-nd/3.0/" TargetMode="External"/><Relationship Id="rId23" Type="http://schemas.openxmlformats.org/officeDocument/2006/relationships/hyperlink" Target="http://www2.ohchr.org/english/law/cat.htm" TargetMode="External"/><Relationship Id="rId28" Type="http://schemas.openxmlformats.org/officeDocument/2006/relationships/hyperlink" Target="http://www.un.org/womenwatch/daw/cedaw/text/econvention.htm" TargetMode="External"/><Relationship Id="rId10" Type="http://schemas.openxmlformats.org/officeDocument/2006/relationships/hyperlink" Target="http://creativecommons.org/licenses/by-nc-nd/3.0/" TargetMode="External"/><Relationship Id="rId19" Type="http://schemas.openxmlformats.org/officeDocument/2006/relationships/hyperlink" Target="http://www2.ohchr.org/english/law/cerd.htm"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creativecommons.org/licenses/by-nc-nd/3.0/" TargetMode="External"/><Relationship Id="rId14" Type="http://schemas.openxmlformats.org/officeDocument/2006/relationships/hyperlink" Target="http://creativecommons.org/licenses/by-nc-nd/3.0/" TargetMode="External"/><Relationship Id="rId22" Type="http://schemas.openxmlformats.org/officeDocument/2006/relationships/hyperlink" Target="http://www.un.org/womenwatch/daw/cedaw/text/econvention.htm" TargetMode="External"/><Relationship Id="rId27" Type="http://schemas.openxmlformats.org/officeDocument/2006/relationships/hyperlink" Target="http://www2.ohchr.org/english/law/cat.htm" TargetMode="External"/><Relationship Id="rId30" Type="http://schemas.openxmlformats.org/officeDocument/2006/relationships/hyperlink" Target="http://www.unict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2770</Words>
  <Characters>14958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Stevy</dc:creator>
  <cp:lastModifiedBy>pantelis</cp:lastModifiedBy>
  <cp:revision>3</cp:revision>
  <cp:lastPrinted>2013-02-27T12:19:00Z</cp:lastPrinted>
  <dcterms:created xsi:type="dcterms:W3CDTF">2013-05-29T19:38:00Z</dcterms:created>
  <dcterms:modified xsi:type="dcterms:W3CDTF">2013-05-30T10:07:00Z</dcterms:modified>
</cp:coreProperties>
</file>