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9D" w:rsidRDefault="00A918B5" w:rsidP="004D67C9">
      <w:pPr>
        <w:pStyle w:val="MainTitle"/>
        <w:rPr>
          <w:rFonts w:ascii="Verdana" w:hAnsi="Verdana"/>
          <w:lang w:val="en-US"/>
        </w:rPr>
      </w:pPr>
      <w:r>
        <w:rPr>
          <w:rFonts w:ascii="Verdana" w:hAnsi="Verdana"/>
          <w:noProof/>
        </w:rPr>
        <w:drawing>
          <wp:inline distT="0" distB="0" distL="0" distR="0">
            <wp:extent cx="5247005" cy="2546985"/>
            <wp:effectExtent l="19050" t="0" r="0" b="0"/>
            <wp:docPr id="1" name="Picture 0" descr="ARTip_logo_no_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Tip_logo_no_border.png"/>
                    <pic:cNvPicPr>
                      <a:picLocks noChangeAspect="1" noChangeArrowheads="1"/>
                    </pic:cNvPicPr>
                  </pic:nvPicPr>
                  <pic:blipFill>
                    <a:blip r:embed="rId8"/>
                    <a:srcRect/>
                    <a:stretch>
                      <a:fillRect/>
                    </a:stretch>
                  </pic:blipFill>
                  <pic:spPr bwMode="auto">
                    <a:xfrm>
                      <a:off x="0" y="0"/>
                      <a:ext cx="5247005" cy="2546985"/>
                    </a:xfrm>
                    <a:prstGeom prst="rect">
                      <a:avLst/>
                    </a:prstGeom>
                    <a:noFill/>
                    <a:ln w="9525">
                      <a:noFill/>
                      <a:miter lim="800000"/>
                      <a:headEnd/>
                      <a:tailEnd/>
                    </a:ln>
                  </pic:spPr>
                </pic:pic>
              </a:graphicData>
            </a:graphic>
          </wp:inline>
        </w:drawing>
      </w:r>
    </w:p>
    <w:p w:rsidR="0034169D" w:rsidRDefault="0034169D" w:rsidP="004D67C9">
      <w:pPr>
        <w:pStyle w:val="MainTitle"/>
        <w:rPr>
          <w:rFonts w:ascii="Verdana" w:hAnsi="Verdana"/>
          <w:lang w:val="en-US"/>
        </w:rPr>
      </w:pPr>
    </w:p>
    <w:p w:rsidR="0034169D" w:rsidRDefault="0034169D" w:rsidP="004D67C9">
      <w:pPr>
        <w:pStyle w:val="MainTitle"/>
        <w:rPr>
          <w:rFonts w:ascii="Verdana" w:hAnsi="Verdana"/>
          <w:sz w:val="44"/>
          <w:lang w:val="en-US"/>
        </w:rPr>
      </w:pPr>
    </w:p>
    <w:p w:rsidR="0034169D" w:rsidRDefault="0034169D" w:rsidP="004D67C9">
      <w:pPr>
        <w:pStyle w:val="MainTitle"/>
        <w:rPr>
          <w:rFonts w:ascii="Verdana" w:hAnsi="Verdana"/>
          <w:sz w:val="44"/>
          <w:lang w:val="en-US"/>
        </w:rPr>
      </w:pPr>
    </w:p>
    <w:p w:rsidR="0034169D" w:rsidRPr="00603523" w:rsidRDefault="00603523" w:rsidP="004D67C9">
      <w:pPr>
        <w:pStyle w:val="MainTitle"/>
        <w:rPr>
          <w:rFonts w:ascii="Calibri" w:hAnsi="Calibri" w:cs="Calibri"/>
          <w:color w:val="82A9D1"/>
          <w:spacing w:val="0"/>
          <w:sz w:val="44"/>
          <w:szCs w:val="44"/>
          <w:lang w:val="nl-BE"/>
        </w:rPr>
      </w:pPr>
      <w:bookmarkStart w:id="0" w:name="_GoBack"/>
      <w:bookmarkEnd w:id="0"/>
      <w:r w:rsidRPr="00603523">
        <w:rPr>
          <w:rFonts w:ascii="Calibri" w:hAnsi="Calibri" w:cs="Calibri"/>
          <w:color w:val="82A9D1"/>
          <w:spacing w:val="0"/>
          <w:sz w:val="44"/>
          <w:szCs w:val="44"/>
          <w:lang w:val="nl-BE"/>
        </w:rPr>
        <w:t>Internationale mechanismen en procedures om mensenrechten te controleren en op te volgen</w:t>
      </w:r>
    </w:p>
    <w:p w:rsidR="0034169D" w:rsidRDefault="0034169D" w:rsidP="004D67C9">
      <w:pPr>
        <w:pStyle w:val="MainTitle"/>
        <w:rPr>
          <w:rFonts w:ascii="Verdana" w:hAnsi="Verdana"/>
          <w:color w:val="000000"/>
          <w:sz w:val="52"/>
          <w:lang w:val="en-US"/>
        </w:rPr>
      </w:pPr>
    </w:p>
    <w:p w:rsidR="0034169D" w:rsidRDefault="0034169D" w:rsidP="004D67C9">
      <w:pPr>
        <w:pStyle w:val="MainTitle"/>
        <w:rPr>
          <w:rFonts w:ascii="Verdana" w:hAnsi="Verdana"/>
          <w:color w:val="000000"/>
          <w:sz w:val="52"/>
          <w:lang w:val="en-US"/>
        </w:rPr>
      </w:pPr>
    </w:p>
    <w:p w:rsidR="0034169D" w:rsidRDefault="0034169D" w:rsidP="004D67C9">
      <w:pPr>
        <w:pStyle w:val="MainTitle"/>
        <w:rPr>
          <w:rFonts w:ascii="Verdana" w:hAnsi="Verdana"/>
          <w:color w:val="000000"/>
          <w:sz w:val="52"/>
          <w:lang w:val="en-US"/>
        </w:rPr>
      </w:pPr>
    </w:p>
    <w:p w:rsidR="0034169D" w:rsidRDefault="0034169D" w:rsidP="004D67C9">
      <w:pPr>
        <w:pStyle w:val="MainTitle"/>
        <w:rPr>
          <w:rFonts w:ascii="Verdana" w:hAnsi="Verdana"/>
          <w:color w:val="000000"/>
          <w:sz w:val="52"/>
          <w:lang w:val="en-US"/>
        </w:rPr>
      </w:pPr>
    </w:p>
    <w:p w:rsidR="0034169D" w:rsidRDefault="0034169D" w:rsidP="004D67C9">
      <w:pPr>
        <w:pStyle w:val="MainTitle"/>
        <w:rPr>
          <w:rFonts w:ascii="Verdana" w:hAnsi="Verdana"/>
          <w:color w:val="000000"/>
          <w:sz w:val="52"/>
          <w:lang w:val="en-US"/>
        </w:rPr>
      </w:pPr>
    </w:p>
    <w:p w:rsidR="0034169D" w:rsidRPr="00603523" w:rsidRDefault="0034169D" w:rsidP="004D67C9">
      <w:pPr>
        <w:spacing w:before="0" w:after="0" w:line="240" w:lineRule="auto"/>
        <w:rPr>
          <w:rFonts w:ascii="Verdana" w:hAnsi="Verdana"/>
          <w:color w:val="000000"/>
          <w:sz w:val="52"/>
          <w:lang w:val="nl-BE"/>
        </w:rPr>
        <w:sectPr w:rsidR="0034169D" w:rsidRPr="00603523" w:rsidSect="005A6499">
          <w:footerReference w:type="default" r:id="rId9"/>
          <w:pgSz w:w="11906" w:h="16838"/>
          <w:pgMar w:top="1438" w:right="1134" w:bottom="1797" w:left="1134" w:header="709" w:footer="709" w:gutter="0"/>
          <w:cols w:space="708"/>
          <w:titlePg/>
          <w:docGrid w:linePitch="360"/>
        </w:sectPr>
      </w:pPr>
    </w:p>
    <w:p w:rsidR="0034169D" w:rsidRDefault="0034169D" w:rsidP="000A3099">
      <w:pPr>
        <w:pStyle w:val="MainTitle"/>
        <w:rPr>
          <w:lang w:val="en-US"/>
        </w:rPr>
      </w:pPr>
      <w:r>
        <w:rPr>
          <w:lang w:val="en-US"/>
        </w:rPr>
        <w:lastRenderedPageBreak/>
        <w:t>[</w:t>
      </w:r>
      <w:proofErr w:type="gramStart"/>
      <w:r w:rsidRPr="00F11535">
        <w:rPr>
          <w:lang w:val="en-US"/>
        </w:rPr>
        <w:t>page</w:t>
      </w:r>
      <w:proofErr w:type="gramEnd"/>
      <w:r w:rsidRPr="00F11535">
        <w:rPr>
          <w:lang w:val="en-US"/>
        </w:rPr>
        <w:t xml:space="preserve"> left blank on purpose]</w:t>
      </w:r>
    </w:p>
    <w:p w:rsidR="00603523" w:rsidRPr="00603523" w:rsidRDefault="0034169D" w:rsidP="00603523">
      <w:pPr>
        <w:pStyle w:val="MainTitle"/>
        <w:rPr>
          <w:lang w:val="en-US"/>
        </w:rPr>
      </w:pPr>
      <w:r>
        <w:rPr>
          <w:lang w:val="en-US"/>
        </w:rPr>
        <w:br w:type="page"/>
      </w:r>
    </w:p>
    <w:p w:rsidR="0034169D" w:rsidRDefault="0034169D" w:rsidP="00603523">
      <w:pPr>
        <w:pStyle w:val="MainTitle"/>
        <w:jc w:val="left"/>
        <w:rPr>
          <w:sz w:val="20"/>
          <w:szCs w:val="20"/>
          <w:lang w:val="en-US"/>
        </w:rPr>
      </w:pPr>
    </w:p>
    <w:p w:rsidR="00603523" w:rsidRDefault="00603523" w:rsidP="00603523">
      <w:pPr>
        <w:pStyle w:val="MainTitle"/>
        <w:jc w:val="left"/>
        <w:rPr>
          <w:sz w:val="20"/>
          <w:szCs w:val="20"/>
          <w:lang w:val="en-US"/>
        </w:rPr>
      </w:pPr>
    </w:p>
    <w:p w:rsidR="00603523" w:rsidRDefault="00603523" w:rsidP="00603523">
      <w:pPr>
        <w:pStyle w:val="MainTitle"/>
        <w:jc w:val="left"/>
        <w:rPr>
          <w:sz w:val="20"/>
          <w:szCs w:val="20"/>
          <w:lang w:val="en-US"/>
        </w:rPr>
      </w:pPr>
    </w:p>
    <w:p w:rsidR="00603523" w:rsidRDefault="00603523" w:rsidP="00603523">
      <w:pPr>
        <w:pStyle w:val="MainTitle"/>
        <w:jc w:val="left"/>
        <w:rPr>
          <w:sz w:val="20"/>
          <w:szCs w:val="20"/>
          <w:lang w:val="en-US"/>
        </w:rPr>
      </w:pPr>
    </w:p>
    <w:p w:rsidR="00603523" w:rsidRDefault="00603523" w:rsidP="00603523">
      <w:pPr>
        <w:pStyle w:val="MainTitle"/>
        <w:jc w:val="left"/>
        <w:rPr>
          <w:sz w:val="20"/>
          <w:szCs w:val="20"/>
          <w:lang w:val="en-US"/>
        </w:rPr>
      </w:pPr>
    </w:p>
    <w:p w:rsidR="00603523" w:rsidRDefault="00603523" w:rsidP="00603523">
      <w:pPr>
        <w:pStyle w:val="MainTitle"/>
        <w:jc w:val="left"/>
        <w:rPr>
          <w:sz w:val="20"/>
          <w:szCs w:val="20"/>
          <w:lang w:val="en-US"/>
        </w:rPr>
      </w:pPr>
    </w:p>
    <w:p w:rsidR="00603523" w:rsidRDefault="00603523" w:rsidP="00603523">
      <w:pPr>
        <w:pStyle w:val="MainTitle"/>
        <w:jc w:val="left"/>
        <w:rPr>
          <w:sz w:val="20"/>
          <w:szCs w:val="20"/>
          <w:lang w:val="en-US"/>
        </w:rPr>
      </w:pPr>
    </w:p>
    <w:p w:rsidR="00603523" w:rsidRDefault="00603523" w:rsidP="00603523">
      <w:pPr>
        <w:pStyle w:val="MainTitle"/>
        <w:jc w:val="left"/>
        <w:rPr>
          <w:sz w:val="20"/>
          <w:szCs w:val="20"/>
          <w:lang w:val="en-US"/>
        </w:rPr>
      </w:pPr>
    </w:p>
    <w:p w:rsidR="00603523" w:rsidRDefault="00603523" w:rsidP="00603523">
      <w:pPr>
        <w:pStyle w:val="MainTitle"/>
        <w:jc w:val="left"/>
        <w:rPr>
          <w:sz w:val="20"/>
          <w:szCs w:val="20"/>
          <w:lang w:val="en-US"/>
        </w:rPr>
      </w:pPr>
    </w:p>
    <w:p w:rsidR="00603523" w:rsidRDefault="00603523" w:rsidP="00603523">
      <w:pPr>
        <w:pStyle w:val="MainTitle"/>
        <w:jc w:val="left"/>
        <w:rPr>
          <w:sz w:val="20"/>
          <w:szCs w:val="20"/>
          <w:lang w:val="en-US"/>
        </w:rPr>
      </w:pPr>
    </w:p>
    <w:p w:rsidR="00603523" w:rsidRDefault="00603523" w:rsidP="00603523">
      <w:pPr>
        <w:pStyle w:val="MainTitle"/>
        <w:jc w:val="left"/>
        <w:rPr>
          <w:sz w:val="20"/>
          <w:szCs w:val="20"/>
          <w:lang w:val="en-US"/>
        </w:rPr>
      </w:pPr>
    </w:p>
    <w:p w:rsidR="00603523" w:rsidRDefault="00603523" w:rsidP="00603523">
      <w:pPr>
        <w:pStyle w:val="MainTitle"/>
        <w:jc w:val="left"/>
        <w:rPr>
          <w:sz w:val="20"/>
          <w:szCs w:val="20"/>
          <w:lang w:val="en-US"/>
        </w:rPr>
      </w:pPr>
    </w:p>
    <w:p w:rsidR="00603523" w:rsidRDefault="00603523" w:rsidP="00603523">
      <w:pPr>
        <w:pStyle w:val="MainTitle"/>
        <w:jc w:val="left"/>
        <w:rPr>
          <w:sz w:val="20"/>
          <w:szCs w:val="20"/>
          <w:lang w:val="en-US"/>
        </w:rPr>
      </w:pPr>
    </w:p>
    <w:p w:rsidR="00603523" w:rsidRDefault="00603523" w:rsidP="00603523">
      <w:pPr>
        <w:pStyle w:val="MainTitle"/>
        <w:jc w:val="left"/>
        <w:rPr>
          <w:sz w:val="20"/>
          <w:szCs w:val="20"/>
          <w:lang w:val="en-US"/>
        </w:rPr>
      </w:pPr>
    </w:p>
    <w:p w:rsidR="00603523" w:rsidRDefault="00603523" w:rsidP="00603523">
      <w:pPr>
        <w:pStyle w:val="MainTitle"/>
        <w:jc w:val="left"/>
        <w:rPr>
          <w:sz w:val="20"/>
          <w:szCs w:val="20"/>
          <w:lang w:val="en-US"/>
        </w:rPr>
      </w:pPr>
    </w:p>
    <w:p w:rsidR="00603523" w:rsidRDefault="00603523" w:rsidP="00603523">
      <w:pPr>
        <w:pStyle w:val="MainTitle"/>
        <w:jc w:val="left"/>
        <w:rPr>
          <w:sz w:val="20"/>
          <w:szCs w:val="20"/>
          <w:lang w:val="en-US"/>
        </w:rPr>
      </w:pPr>
    </w:p>
    <w:p w:rsidR="00603523" w:rsidRDefault="00603523" w:rsidP="00603523">
      <w:pPr>
        <w:pStyle w:val="MainTitle"/>
        <w:jc w:val="left"/>
        <w:rPr>
          <w:sz w:val="20"/>
          <w:szCs w:val="20"/>
          <w:lang w:val="en-US"/>
        </w:rPr>
      </w:pPr>
    </w:p>
    <w:p w:rsidR="00603523" w:rsidRDefault="00603523" w:rsidP="00603523">
      <w:pPr>
        <w:pStyle w:val="MainTitle"/>
        <w:jc w:val="left"/>
        <w:rPr>
          <w:sz w:val="20"/>
          <w:szCs w:val="20"/>
          <w:lang w:val="en-US"/>
        </w:rPr>
      </w:pPr>
    </w:p>
    <w:p w:rsidR="00603523" w:rsidRDefault="00603523" w:rsidP="00603523">
      <w:pPr>
        <w:pStyle w:val="MainTitle"/>
        <w:jc w:val="left"/>
        <w:rPr>
          <w:sz w:val="20"/>
          <w:szCs w:val="20"/>
          <w:lang w:val="en-US"/>
        </w:rPr>
      </w:pPr>
    </w:p>
    <w:p w:rsidR="00603523" w:rsidRDefault="00603523" w:rsidP="00603523">
      <w:pPr>
        <w:pStyle w:val="MainTitle"/>
        <w:jc w:val="left"/>
        <w:rPr>
          <w:sz w:val="20"/>
          <w:szCs w:val="20"/>
          <w:lang w:val="en-US"/>
        </w:rPr>
      </w:pPr>
    </w:p>
    <w:p w:rsidR="00603523" w:rsidRDefault="00603523" w:rsidP="00603523">
      <w:pPr>
        <w:pStyle w:val="MainTitle"/>
        <w:jc w:val="left"/>
        <w:rPr>
          <w:sz w:val="20"/>
          <w:szCs w:val="20"/>
          <w:lang w:val="en-US"/>
        </w:rPr>
      </w:pPr>
    </w:p>
    <w:p w:rsidR="00603523" w:rsidRDefault="00603523" w:rsidP="00603523">
      <w:pPr>
        <w:pStyle w:val="MainTitle"/>
        <w:jc w:val="left"/>
        <w:rPr>
          <w:sz w:val="20"/>
          <w:szCs w:val="20"/>
          <w:lang w:val="en-US"/>
        </w:rPr>
      </w:pPr>
    </w:p>
    <w:p w:rsidR="00603523" w:rsidRDefault="00603523" w:rsidP="00603523">
      <w:pPr>
        <w:pStyle w:val="MainTitle"/>
        <w:jc w:val="left"/>
        <w:rPr>
          <w:sz w:val="20"/>
          <w:szCs w:val="20"/>
          <w:lang w:val="en-US"/>
        </w:rPr>
      </w:pPr>
    </w:p>
    <w:p w:rsidR="00603523" w:rsidRPr="00603523" w:rsidRDefault="00603523" w:rsidP="00603523">
      <w:pPr>
        <w:jc w:val="center"/>
        <w:rPr>
          <w:sz w:val="20"/>
          <w:szCs w:val="20"/>
          <w:lang w:val="nl-BE"/>
        </w:rPr>
      </w:pPr>
      <w:r w:rsidRPr="00603523">
        <w:rPr>
          <w:sz w:val="20"/>
          <w:szCs w:val="20"/>
          <w:lang w:val="nl-BE"/>
        </w:rPr>
        <w:t>Dit werk is gepatenteerd onder een</w:t>
      </w:r>
    </w:p>
    <w:p w:rsidR="00603523" w:rsidRPr="00603523" w:rsidRDefault="000A5EED" w:rsidP="00603523">
      <w:pPr>
        <w:jc w:val="center"/>
        <w:rPr>
          <w:sz w:val="20"/>
          <w:szCs w:val="20"/>
          <w:lang w:val="en-US"/>
        </w:rPr>
      </w:pPr>
      <w:hyperlink r:id="rId10" w:history="1">
        <w:r w:rsidR="00603523" w:rsidRPr="00603523">
          <w:rPr>
            <w:color w:val="0000FF"/>
            <w:sz w:val="20"/>
            <w:szCs w:val="20"/>
            <w:u w:val="single"/>
            <w:lang w:val="en-US"/>
          </w:rPr>
          <w:t>Creative Commons Attribution-</w:t>
        </w:r>
        <w:proofErr w:type="spellStart"/>
      </w:hyperlink>
      <w:hyperlink r:id="rId11" w:history="1">
        <w:r w:rsidR="00603523" w:rsidRPr="00603523">
          <w:rPr>
            <w:color w:val="0000FF"/>
            <w:sz w:val="20"/>
            <w:szCs w:val="20"/>
            <w:u w:val="single"/>
            <w:lang w:val="en-US"/>
          </w:rPr>
          <w:t>NonCommercial</w:t>
        </w:r>
        <w:proofErr w:type="spellEnd"/>
      </w:hyperlink>
      <w:hyperlink r:id="rId12" w:history="1">
        <w:r w:rsidR="00603523" w:rsidRPr="00603523">
          <w:rPr>
            <w:color w:val="0000FF"/>
            <w:sz w:val="20"/>
            <w:szCs w:val="20"/>
            <w:u w:val="single"/>
            <w:lang w:val="en-US"/>
          </w:rPr>
          <w:t>-</w:t>
        </w:r>
        <w:proofErr w:type="spellStart"/>
      </w:hyperlink>
      <w:hyperlink r:id="rId13" w:history="1">
        <w:r w:rsidR="00603523" w:rsidRPr="00603523">
          <w:rPr>
            <w:color w:val="0000FF"/>
            <w:sz w:val="20"/>
            <w:szCs w:val="20"/>
            <w:u w:val="single"/>
            <w:lang w:val="en-US"/>
          </w:rPr>
          <w:t>NoDerivs</w:t>
        </w:r>
        <w:proofErr w:type="spellEnd"/>
      </w:hyperlink>
      <w:hyperlink r:id="rId14" w:history="1">
        <w:r w:rsidR="00603523" w:rsidRPr="00603523">
          <w:rPr>
            <w:color w:val="0000FF"/>
            <w:sz w:val="20"/>
            <w:szCs w:val="20"/>
            <w:u w:val="single"/>
            <w:lang w:val="en-US"/>
          </w:rPr>
          <w:t xml:space="preserve"> 3.0 </w:t>
        </w:r>
      </w:hyperlink>
      <w:hyperlink r:id="rId15" w:history="1">
        <w:proofErr w:type="spellStart"/>
        <w:r w:rsidR="00603523" w:rsidRPr="00603523">
          <w:rPr>
            <w:color w:val="0000FF"/>
            <w:sz w:val="20"/>
            <w:szCs w:val="20"/>
            <w:u w:val="single"/>
            <w:lang w:val="en-US"/>
          </w:rPr>
          <w:t>Unported</w:t>
        </w:r>
        <w:proofErr w:type="spellEnd"/>
      </w:hyperlink>
      <w:hyperlink r:id="rId16" w:history="1">
        <w:r w:rsidR="00603523" w:rsidRPr="00603523">
          <w:rPr>
            <w:color w:val="0000FF"/>
            <w:sz w:val="20"/>
            <w:szCs w:val="20"/>
            <w:u w:val="single"/>
            <w:lang w:val="en-US"/>
          </w:rPr>
          <w:t xml:space="preserve"> </w:t>
        </w:r>
        <w:proofErr w:type="spellStart"/>
        <w:r w:rsidR="00603523" w:rsidRPr="00603523">
          <w:rPr>
            <w:color w:val="0000FF"/>
            <w:sz w:val="20"/>
            <w:szCs w:val="20"/>
            <w:u w:val="single"/>
            <w:lang w:val="en-US"/>
          </w:rPr>
          <w:t>Licentie</w:t>
        </w:r>
        <w:proofErr w:type="spellEnd"/>
      </w:hyperlink>
      <w:r w:rsidR="00603523" w:rsidRPr="00603523">
        <w:rPr>
          <w:sz w:val="20"/>
          <w:szCs w:val="20"/>
          <w:lang w:val="en-US"/>
        </w:rPr>
        <w:t>.</w:t>
      </w:r>
    </w:p>
    <w:p w:rsidR="00603523" w:rsidRPr="00603523" w:rsidRDefault="00603523" w:rsidP="00603523">
      <w:pPr>
        <w:jc w:val="center"/>
        <w:rPr>
          <w:sz w:val="20"/>
          <w:szCs w:val="20"/>
          <w:lang w:val="nl-BE"/>
        </w:rPr>
      </w:pPr>
      <w:r>
        <w:rPr>
          <w:noProof/>
          <w:sz w:val="20"/>
          <w:szCs w:val="20"/>
        </w:rPr>
        <w:drawing>
          <wp:inline distT="0" distB="0" distL="0" distR="0">
            <wp:extent cx="1514475" cy="533400"/>
            <wp:effectExtent l="0" t="0" r="9525" b="0"/>
            <wp:docPr id="6" name="Afbeelding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4475" cy="533400"/>
                    </a:xfrm>
                    <a:prstGeom prst="rect">
                      <a:avLst/>
                    </a:prstGeom>
                    <a:noFill/>
                    <a:ln>
                      <a:noFill/>
                    </a:ln>
                  </pic:spPr>
                </pic:pic>
              </a:graphicData>
            </a:graphic>
          </wp:inline>
        </w:drawing>
      </w:r>
    </w:p>
    <w:p w:rsidR="00603523" w:rsidRPr="00603523" w:rsidRDefault="00603523" w:rsidP="00603523">
      <w:pPr>
        <w:jc w:val="center"/>
        <w:rPr>
          <w:i/>
          <w:iCs/>
          <w:sz w:val="20"/>
          <w:szCs w:val="20"/>
          <w:lang w:val="nl-BE"/>
        </w:rPr>
      </w:pPr>
    </w:p>
    <w:p w:rsidR="00603523" w:rsidRPr="00603523" w:rsidRDefault="00603523" w:rsidP="00603523">
      <w:pPr>
        <w:jc w:val="center"/>
        <w:rPr>
          <w:sz w:val="20"/>
          <w:szCs w:val="20"/>
          <w:lang w:val="nl-BE"/>
        </w:rPr>
      </w:pPr>
      <w:r w:rsidRPr="00603523">
        <w:rPr>
          <w:i/>
          <w:iCs/>
          <w:sz w:val="20"/>
          <w:szCs w:val="20"/>
          <w:lang w:val="nl-BE"/>
        </w:rPr>
        <w:t>Dit project werd gefinancierd met steun van de Europese Commissie. Deze tekst reflecteert enkel de visie van de auteur(s), en de Commissie kan niet verantwoordelijk worden gehouden voor enig gebruik van de informatie die er in vervat zit.</w:t>
      </w:r>
    </w:p>
    <w:p w:rsidR="00603523" w:rsidRPr="00603523" w:rsidRDefault="00603523" w:rsidP="00603523">
      <w:pPr>
        <w:jc w:val="center"/>
        <w:rPr>
          <w:sz w:val="20"/>
          <w:szCs w:val="20"/>
          <w:lang w:val="nl-BE"/>
        </w:rPr>
      </w:pPr>
      <w:r>
        <w:rPr>
          <w:noProof/>
          <w:sz w:val="20"/>
          <w:szCs w:val="20"/>
        </w:rPr>
        <w:drawing>
          <wp:anchor distT="0" distB="0" distL="114300" distR="114300" simplePos="0" relativeHeight="251659264" behindDoc="1" locked="0" layoutInCell="1" allowOverlap="1">
            <wp:simplePos x="0" y="0"/>
            <wp:positionH relativeFrom="column">
              <wp:posOffset>1721485</wp:posOffset>
            </wp:positionH>
            <wp:positionV relativeFrom="paragraph">
              <wp:posOffset>62230</wp:posOffset>
            </wp:positionV>
            <wp:extent cx="2400300" cy="969645"/>
            <wp:effectExtent l="0" t="0" r="0" b="1905"/>
            <wp:wrapTight wrapText="bothSides">
              <wp:wrapPolygon edited="0">
                <wp:start x="0" y="0"/>
                <wp:lineTo x="0" y="21218"/>
                <wp:lineTo x="21429" y="21218"/>
                <wp:lineTo x="21429" y="0"/>
                <wp:lineTo x="0" y="0"/>
              </wp:wrapPolygon>
            </wp:wrapTight>
            <wp:docPr id="7" name="Afbeelding 7" descr="LLP logo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LLP logo englis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0300"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69D" w:rsidRPr="00F11535" w:rsidRDefault="00603523" w:rsidP="00603523">
      <w:pPr>
        <w:pStyle w:val="MainTitle"/>
        <w:rPr>
          <w:rFonts w:ascii="Calibri" w:hAnsi="Calibri" w:cs="Calibri"/>
          <w:b w:val="0"/>
          <w:color w:val="D9D9D9"/>
          <w:sz w:val="36"/>
          <w:lang w:val="en-US"/>
        </w:rPr>
      </w:pPr>
      <w:r w:rsidRPr="00603523">
        <w:rPr>
          <w:rFonts w:ascii="Calibri" w:hAnsi="Calibri" w:cs="Calibri"/>
          <w:b w:val="0"/>
          <w:color w:val="D9D9D9"/>
          <w:sz w:val="36"/>
          <w:lang w:val="nl-BE"/>
        </w:rPr>
        <w:t xml:space="preserve"> </w:t>
      </w:r>
      <w:r w:rsidR="0034169D" w:rsidRPr="00F11535">
        <w:rPr>
          <w:rFonts w:ascii="Calibri" w:hAnsi="Calibri" w:cs="Calibri"/>
          <w:b w:val="0"/>
          <w:color w:val="D9D9D9"/>
          <w:sz w:val="36"/>
          <w:lang w:val="en-US"/>
        </w:rPr>
        <w:t>[</w:t>
      </w:r>
      <w:proofErr w:type="gramStart"/>
      <w:r w:rsidR="0034169D">
        <w:rPr>
          <w:rFonts w:ascii="Calibri" w:hAnsi="Calibri" w:cs="Calibri"/>
          <w:b w:val="0"/>
          <w:color w:val="D9D9D9"/>
          <w:sz w:val="36"/>
          <w:lang w:val="en-US"/>
        </w:rPr>
        <w:t>page</w:t>
      </w:r>
      <w:proofErr w:type="gramEnd"/>
      <w:r w:rsidR="0034169D">
        <w:rPr>
          <w:rFonts w:ascii="Calibri" w:hAnsi="Calibri" w:cs="Calibri"/>
          <w:b w:val="0"/>
          <w:color w:val="D9D9D9"/>
          <w:sz w:val="36"/>
          <w:lang w:val="en-US"/>
        </w:rPr>
        <w:t xml:space="preserve"> </w:t>
      </w:r>
      <w:r w:rsidR="0034169D" w:rsidRPr="00F11535">
        <w:rPr>
          <w:rFonts w:ascii="Calibri" w:hAnsi="Calibri" w:cs="Calibri"/>
          <w:b w:val="0"/>
          <w:color w:val="D9D9D9"/>
          <w:sz w:val="36"/>
          <w:lang w:val="en-US"/>
        </w:rPr>
        <w:t>left blank on purpose]</w:t>
      </w:r>
    </w:p>
    <w:p w:rsidR="0034169D" w:rsidRDefault="0034169D" w:rsidP="004D67C9">
      <w:pPr>
        <w:spacing w:before="0" w:after="0" w:line="240" w:lineRule="auto"/>
        <w:rPr>
          <w:rFonts w:ascii="Verdana" w:hAnsi="Verdana"/>
          <w:color w:val="000000"/>
          <w:sz w:val="52"/>
          <w:lang w:val="en-US"/>
        </w:rPr>
      </w:pPr>
    </w:p>
    <w:p w:rsidR="0034169D" w:rsidRDefault="0034169D" w:rsidP="004D67C9">
      <w:pPr>
        <w:spacing w:before="0" w:after="0" w:line="240" w:lineRule="auto"/>
        <w:rPr>
          <w:b/>
          <w:lang w:val="en-US"/>
        </w:rPr>
      </w:pPr>
      <w:r>
        <w:rPr>
          <w:rFonts w:ascii="Verdana" w:hAnsi="Verdana"/>
          <w:color w:val="000000"/>
          <w:sz w:val="52"/>
          <w:lang w:val="en-US"/>
        </w:rPr>
        <w:br w:type="page"/>
      </w:r>
    </w:p>
    <w:p w:rsidR="0034169D" w:rsidRPr="00661AF5" w:rsidRDefault="00196546" w:rsidP="004D67C9">
      <w:pPr>
        <w:pStyle w:val="StyleTitleTOC"/>
        <w:rPr>
          <w:lang w:val="en-US"/>
        </w:rPr>
      </w:pPr>
      <w:r>
        <w:rPr>
          <w:lang w:val="en-US"/>
        </w:rPr>
        <w:lastRenderedPageBreak/>
        <w:t>INHOUDSTAFEL</w:t>
      </w:r>
    </w:p>
    <w:p w:rsidR="0034169D" w:rsidRPr="006E686D" w:rsidRDefault="0034169D" w:rsidP="004D67C9"/>
    <w:p w:rsidR="008B7B57" w:rsidRDefault="00AB6211">
      <w:pPr>
        <w:pStyle w:val="10"/>
        <w:tabs>
          <w:tab w:val="right" w:leader="dot" w:pos="9628"/>
        </w:tabs>
        <w:rPr>
          <w:rFonts w:asciiTheme="minorHAnsi" w:eastAsiaTheme="minorEastAsia" w:hAnsiTheme="minorHAnsi" w:cstheme="minorBidi"/>
          <w:b w:val="0"/>
          <w:bCs w:val="0"/>
          <w:noProof/>
          <w:color w:val="auto"/>
          <w:szCs w:val="22"/>
          <w:lang w:val="nl-BE" w:eastAsia="nl-BE"/>
        </w:rPr>
      </w:pPr>
      <w:r w:rsidRPr="006E686D">
        <w:rPr>
          <w:rFonts w:ascii="Verdana" w:hAnsi="Verdana"/>
          <w:color w:val="auto"/>
          <w:lang w:val="en-US"/>
        </w:rPr>
        <w:fldChar w:fldCharType="begin"/>
      </w:r>
      <w:r w:rsidR="0034169D" w:rsidRPr="006E686D">
        <w:rPr>
          <w:rFonts w:ascii="Verdana" w:hAnsi="Verdana"/>
          <w:color w:val="auto"/>
          <w:lang w:val="en-US"/>
        </w:rPr>
        <w:instrText xml:space="preserve"> TOC \o "1-3" \h \z \u </w:instrText>
      </w:r>
      <w:r w:rsidRPr="006E686D">
        <w:rPr>
          <w:rFonts w:ascii="Verdana" w:hAnsi="Verdana"/>
          <w:color w:val="auto"/>
          <w:lang w:val="en-US"/>
        </w:rPr>
        <w:fldChar w:fldCharType="separate"/>
      </w:r>
      <w:hyperlink w:anchor="_Toc350286777" w:history="1">
        <w:r w:rsidR="008B7B57" w:rsidRPr="00982818">
          <w:rPr>
            <w:rStyle w:val="-"/>
            <w:rFonts w:ascii="Calibri" w:hAnsi="Calibri"/>
            <w:noProof/>
            <w:lang w:val="nl-BE"/>
          </w:rPr>
          <w:t>1. Inleiding</w:t>
        </w:r>
        <w:r w:rsidR="008B7B57">
          <w:rPr>
            <w:noProof/>
            <w:webHidden/>
          </w:rPr>
          <w:tab/>
        </w:r>
        <w:r w:rsidR="008B7B57">
          <w:rPr>
            <w:noProof/>
            <w:webHidden/>
          </w:rPr>
          <w:fldChar w:fldCharType="begin"/>
        </w:r>
        <w:r w:rsidR="008B7B57">
          <w:rPr>
            <w:noProof/>
            <w:webHidden/>
          </w:rPr>
          <w:instrText xml:space="preserve"> PAGEREF _Toc350286777 \h </w:instrText>
        </w:r>
        <w:r w:rsidR="008B7B57">
          <w:rPr>
            <w:noProof/>
            <w:webHidden/>
          </w:rPr>
        </w:r>
        <w:r w:rsidR="008B7B57">
          <w:rPr>
            <w:noProof/>
            <w:webHidden/>
          </w:rPr>
          <w:fldChar w:fldCharType="separate"/>
        </w:r>
        <w:r w:rsidR="001F0EB0">
          <w:rPr>
            <w:noProof/>
            <w:webHidden/>
          </w:rPr>
          <w:t>6</w:t>
        </w:r>
        <w:r w:rsidR="008B7B57">
          <w:rPr>
            <w:noProof/>
            <w:webHidden/>
          </w:rPr>
          <w:fldChar w:fldCharType="end"/>
        </w:r>
      </w:hyperlink>
    </w:p>
    <w:p w:rsidR="008B7B57" w:rsidRDefault="000A5EED">
      <w:pPr>
        <w:pStyle w:val="10"/>
        <w:tabs>
          <w:tab w:val="right" w:leader="dot" w:pos="9628"/>
        </w:tabs>
        <w:rPr>
          <w:rFonts w:asciiTheme="minorHAnsi" w:eastAsiaTheme="minorEastAsia" w:hAnsiTheme="minorHAnsi" w:cstheme="minorBidi"/>
          <w:b w:val="0"/>
          <w:bCs w:val="0"/>
          <w:noProof/>
          <w:color w:val="auto"/>
          <w:szCs w:val="22"/>
          <w:lang w:val="nl-BE" w:eastAsia="nl-BE"/>
        </w:rPr>
      </w:pPr>
      <w:hyperlink w:anchor="_Toc350286778" w:history="1">
        <w:r w:rsidR="008B7B57" w:rsidRPr="00982818">
          <w:rPr>
            <w:rStyle w:val="-"/>
            <w:rFonts w:ascii="Calibri" w:hAnsi="Calibri"/>
            <w:noProof/>
            <w:lang w:val="nl-BE"/>
          </w:rPr>
          <w:t>2. De bescherming van mensenrechten door internationale controle en opvolging</w:t>
        </w:r>
        <w:r w:rsidR="008B7B57">
          <w:rPr>
            <w:noProof/>
            <w:webHidden/>
          </w:rPr>
          <w:tab/>
        </w:r>
        <w:r w:rsidR="008B7B57">
          <w:rPr>
            <w:noProof/>
            <w:webHidden/>
          </w:rPr>
          <w:fldChar w:fldCharType="begin"/>
        </w:r>
        <w:r w:rsidR="008B7B57">
          <w:rPr>
            <w:noProof/>
            <w:webHidden/>
          </w:rPr>
          <w:instrText xml:space="preserve"> PAGEREF _Toc350286778 \h </w:instrText>
        </w:r>
        <w:r w:rsidR="008B7B57">
          <w:rPr>
            <w:noProof/>
            <w:webHidden/>
          </w:rPr>
        </w:r>
        <w:r w:rsidR="008B7B57">
          <w:rPr>
            <w:noProof/>
            <w:webHidden/>
          </w:rPr>
          <w:fldChar w:fldCharType="separate"/>
        </w:r>
        <w:r w:rsidR="001F0EB0">
          <w:rPr>
            <w:noProof/>
            <w:webHidden/>
          </w:rPr>
          <w:t>6</w:t>
        </w:r>
        <w:r w:rsidR="008B7B57">
          <w:rPr>
            <w:noProof/>
            <w:webHidden/>
          </w:rPr>
          <w:fldChar w:fldCharType="end"/>
        </w:r>
      </w:hyperlink>
    </w:p>
    <w:p w:rsidR="008B7B57" w:rsidRDefault="000A5EED">
      <w:pPr>
        <w:pStyle w:val="10"/>
        <w:tabs>
          <w:tab w:val="right" w:leader="dot" w:pos="9628"/>
        </w:tabs>
        <w:rPr>
          <w:rFonts w:asciiTheme="minorHAnsi" w:eastAsiaTheme="minorEastAsia" w:hAnsiTheme="minorHAnsi" w:cstheme="minorBidi"/>
          <w:b w:val="0"/>
          <w:bCs w:val="0"/>
          <w:noProof/>
          <w:color w:val="auto"/>
          <w:szCs w:val="22"/>
          <w:lang w:val="nl-BE" w:eastAsia="nl-BE"/>
        </w:rPr>
      </w:pPr>
      <w:hyperlink w:anchor="_Toc350286779" w:history="1">
        <w:r w:rsidR="008B7B57" w:rsidRPr="00982818">
          <w:rPr>
            <w:rStyle w:val="-"/>
            <w:rFonts w:ascii="Calibri" w:hAnsi="Calibri"/>
            <w:noProof/>
            <w:lang w:val="nl-BE"/>
          </w:rPr>
          <w:t>3. Overzicht van de internationale procedures</w:t>
        </w:r>
        <w:r w:rsidR="008B7B57">
          <w:rPr>
            <w:noProof/>
            <w:webHidden/>
          </w:rPr>
          <w:tab/>
        </w:r>
        <w:r w:rsidR="008B7B57">
          <w:rPr>
            <w:noProof/>
            <w:webHidden/>
          </w:rPr>
          <w:fldChar w:fldCharType="begin"/>
        </w:r>
        <w:r w:rsidR="008B7B57">
          <w:rPr>
            <w:noProof/>
            <w:webHidden/>
          </w:rPr>
          <w:instrText xml:space="preserve"> PAGEREF _Toc350286779 \h </w:instrText>
        </w:r>
        <w:r w:rsidR="008B7B57">
          <w:rPr>
            <w:noProof/>
            <w:webHidden/>
          </w:rPr>
        </w:r>
        <w:r w:rsidR="008B7B57">
          <w:rPr>
            <w:noProof/>
            <w:webHidden/>
          </w:rPr>
          <w:fldChar w:fldCharType="separate"/>
        </w:r>
        <w:r w:rsidR="001F0EB0">
          <w:rPr>
            <w:noProof/>
            <w:webHidden/>
          </w:rPr>
          <w:t>7</w:t>
        </w:r>
        <w:r w:rsidR="008B7B57">
          <w:rPr>
            <w:noProof/>
            <w:webHidden/>
          </w:rPr>
          <w:fldChar w:fldCharType="end"/>
        </w:r>
      </w:hyperlink>
    </w:p>
    <w:p w:rsidR="008B7B57" w:rsidRDefault="000A5EED">
      <w:pPr>
        <w:pStyle w:val="20"/>
        <w:tabs>
          <w:tab w:val="right" w:leader="dot" w:pos="9628"/>
        </w:tabs>
        <w:rPr>
          <w:rFonts w:asciiTheme="minorHAnsi" w:eastAsiaTheme="minorEastAsia" w:hAnsiTheme="minorHAnsi" w:cstheme="minorBidi"/>
          <w:noProof/>
          <w:szCs w:val="22"/>
          <w:lang w:val="nl-BE" w:eastAsia="nl-BE"/>
        </w:rPr>
      </w:pPr>
      <w:hyperlink w:anchor="_Toc350286780" w:history="1">
        <w:r w:rsidR="008B7B57" w:rsidRPr="00982818">
          <w:rPr>
            <w:rStyle w:val="-"/>
            <w:rFonts w:cs="Arial"/>
            <w:iCs/>
            <w:noProof/>
            <w:kern w:val="32"/>
            <w:lang w:val="nl-BE"/>
          </w:rPr>
          <w:t>3.1 Rapportageprocedures</w:t>
        </w:r>
        <w:r w:rsidR="008B7B57">
          <w:rPr>
            <w:noProof/>
            <w:webHidden/>
          </w:rPr>
          <w:tab/>
        </w:r>
        <w:r w:rsidR="008B7B57">
          <w:rPr>
            <w:noProof/>
            <w:webHidden/>
          </w:rPr>
          <w:fldChar w:fldCharType="begin"/>
        </w:r>
        <w:r w:rsidR="008B7B57">
          <w:rPr>
            <w:noProof/>
            <w:webHidden/>
          </w:rPr>
          <w:instrText xml:space="preserve"> PAGEREF _Toc350286780 \h </w:instrText>
        </w:r>
        <w:r w:rsidR="008B7B57">
          <w:rPr>
            <w:noProof/>
            <w:webHidden/>
          </w:rPr>
        </w:r>
        <w:r w:rsidR="008B7B57">
          <w:rPr>
            <w:noProof/>
            <w:webHidden/>
          </w:rPr>
          <w:fldChar w:fldCharType="separate"/>
        </w:r>
        <w:r w:rsidR="001F0EB0">
          <w:rPr>
            <w:noProof/>
            <w:webHidden/>
          </w:rPr>
          <w:t>7</w:t>
        </w:r>
        <w:r w:rsidR="008B7B57">
          <w:rPr>
            <w:noProof/>
            <w:webHidden/>
          </w:rPr>
          <w:fldChar w:fldCharType="end"/>
        </w:r>
      </w:hyperlink>
    </w:p>
    <w:p w:rsidR="008B7B57" w:rsidRDefault="000A5EED">
      <w:pPr>
        <w:pStyle w:val="20"/>
        <w:tabs>
          <w:tab w:val="right" w:leader="dot" w:pos="9628"/>
        </w:tabs>
        <w:rPr>
          <w:rFonts w:asciiTheme="minorHAnsi" w:eastAsiaTheme="minorEastAsia" w:hAnsiTheme="minorHAnsi" w:cstheme="minorBidi"/>
          <w:noProof/>
          <w:szCs w:val="22"/>
          <w:lang w:val="nl-BE" w:eastAsia="nl-BE"/>
        </w:rPr>
      </w:pPr>
      <w:hyperlink w:anchor="_Toc350286781" w:history="1">
        <w:r w:rsidR="008B7B57" w:rsidRPr="00982818">
          <w:rPr>
            <w:rStyle w:val="-"/>
            <w:rFonts w:cs="Arial"/>
            <w:iCs/>
            <w:noProof/>
            <w:kern w:val="32"/>
            <w:lang w:val="nl-BE"/>
          </w:rPr>
          <w:t>3.2 Klachtenprocedures</w:t>
        </w:r>
        <w:r w:rsidR="008B7B57">
          <w:rPr>
            <w:noProof/>
            <w:webHidden/>
          </w:rPr>
          <w:tab/>
        </w:r>
        <w:r w:rsidR="008B7B57">
          <w:rPr>
            <w:noProof/>
            <w:webHidden/>
          </w:rPr>
          <w:fldChar w:fldCharType="begin"/>
        </w:r>
        <w:r w:rsidR="008B7B57">
          <w:rPr>
            <w:noProof/>
            <w:webHidden/>
          </w:rPr>
          <w:instrText xml:space="preserve"> PAGEREF _Toc350286781 \h </w:instrText>
        </w:r>
        <w:r w:rsidR="008B7B57">
          <w:rPr>
            <w:noProof/>
            <w:webHidden/>
          </w:rPr>
        </w:r>
        <w:r w:rsidR="008B7B57">
          <w:rPr>
            <w:noProof/>
            <w:webHidden/>
          </w:rPr>
          <w:fldChar w:fldCharType="separate"/>
        </w:r>
        <w:r w:rsidR="001F0EB0">
          <w:rPr>
            <w:noProof/>
            <w:webHidden/>
          </w:rPr>
          <w:t>8</w:t>
        </w:r>
        <w:r w:rsidR="008B7B57">
          <w:rPr>
            <w:noProof/>
            <w:webHidden/>
          </w:rPr>
          <w:fldChar w:fldCharType="end"/>
        </w:r>
      </w:hyperlink>
    </w:p>
    <w:p w:rsidR="008B7B57" w:rsidRDefault="000A5EED">
      <w:pPr>
        <w:pStyle w:val="20"/>
        <w:tabs>
          <w:tab w:val="right" w:leader="dot" w:pos="9628"/>
        </w:tabs>
        <w:rPr>
          <w:rFonts w:asciiTheme="minorHAnsi" w:eastAsiaTheme="minorEastAsia" w:hAnsiTheme="minorHAnsi" w:cstheme="minorBidi"/>
          <w:noProof/>
          <w:szCs w:val="22"/>
          <w:lang w:val="nl-BE" w:eastAsia="nl-BE"/>
        </w:rPr>
      </w:pPr>
      <w:hyperlink w:anchor="_Toc350286782" w:history="1">
        <w:r w:rsidR="008B7B57" w:rsidRPr="00982818">
          <w:rPr>
            <w:rStyle w:val="-"/>
            <w:rFonts w:cs="Arial"/>
            <w:iCs/>
            <w:noProof/>
            <w:kern w:val="32"/>
            <w:lang w:val="nl-BE"/>
          </w:rPr>
          <w:t>3.3 Onderzoeksprocedures</w:t>
        </w:r>
        <w:r w:rsidR="008B7B57">
          <w:rPr>
            <w:noProof/>
            <w:webHidden/>
          </w:rPr>
          <w:tab/>
        </w:r>
        <w:r w:rsidR="008B7B57">
          <w:rPr>
            <w:noProof/>
            <w:webHidden/>
          </w:rPr>
          <w:fldChar w:fldCharType="begin"/>
        </w:r>
        <w:r w:rsidR="008B7B57">
          <w:rPr>
            <w:noProof/>
            <w:webHidden/>
          </w:rPr>
          <w:instrText xml:space="preserve"> PAGEREF _Toc350286782 \h </w:instrText>
        </w:r>
        <w:r w:rsidR="008B7B57">
          <w:rPr>
            <w:noProof/>
            <w:webHidden/>
          </w:rPr>
        </w:r>
        <w:r w:rsidR="008B7B57">
          <w:rPr>
            <w:noProof/>
            <w:webHidden/>
          </w:rPr>
          <w:fldChar w:fldCharType="separate"/>
        </w:r>
        <w:r w:rsidR="001F0EB0">
          <w:rPr>
            <w:noProof/>
            <w:webHidden/>
          </w:rPr>
          <w:t>10</w:t>
        </w:r>
        <w:r w:rsidR="008B7B57">
          <w:rPr>
            <w:noProof/>
            <w:webHidden/>
          </w:rPr>
          <w:fldChar w:fldCharType="end"/>
        </w:r>
      </w:hyperlink>
    </w:p>
    <w:p w:rsidR="008B7B57" w:rsidRDefault="000A5EED">
      <w:pPr>
        <w:pStyle w:val="20"/>
        <w:tabs>
          <w:tab w:val="right" w:leader="dot" w:pos="9628"/>
        </w:tabs>
        <w:rPr>
          <w:rFonts w:asciiTheme="minorHAnsi" w:eastAsiaTheme="minorEastAsia" w:hAnsiTheme="minorHAnsi" w:cstheme="minorBidi"/>
          <w:noProof/>
          <w:szCs w:val="22"/>
          <w:lang w:val="nl-BE" w:eastAsia="nl-BE"/>
        </w:rPr>
      </w:pPr>
      <w:hyperlink w:anchor="_Toc350286783" w:history="1">
        <w:r w:rsidR="008B7B57" w:rsidRPr="00982818">
          <w:rPr>
            <w:rStyle w:val="-"/>
            <w:rFonts w:cs="Arial"/>
            <w:iCs/>
            <w:noProof/>
            <w:kern w:val="32"/>
            <w:lang w:val="nl-BE"/>
          </w:rPr>
          <w:t>3.4 Andere internationale procedures</w:t>
        </w:r>
        <w:r w:rsidR="008B7B57">
          <w:rPr>
            <w:noProof/>
            <w:webHidden/>
          </w:rPr>
          <w:tab/>
        </w:r>
        <w:r w:rsidR="008B7B57">
          <w:rPr>
            <w:noProof/>
            <w:webHidden/>
          </w:rPr>
          <w:fldChar w:fldCharType="begin"/>
        </w:r>
        <w:r w:rsidR="008B7B57">
          <w:rPr>
            <w:noProof/>
            <w:webHidden/>
          </w:rPr>
          <w:instrText xml:space="preserve"> PAGEREF _Toc350286783 \h </w:instrText>
        </w:r>
        <w:r w:rsidR="008B7B57">
          <w:rPr>
            <w:noProof/>
            <w:webHidden/>
          </w:rPr>
        </w:r>
        <w:r w:rsidR="008B7B57">
          <w:rPr>
            <w:noProof/>
            <w:webHidden/>
          </w:rPr>
          <w:fldChar w:fldCharType="separate"/>
        </w:r>
        <w:r w:rsidR="001F0EB0">
          <w:rPr>
            <w:noProof/>
            <w:webHidden/>
          </w:rPr>
          <w:t>11</w:t>
        </w:r>
        <w:r w:rsidR="008B7B57">
          <w:rPr>
            <w:noProof/>
            <w:webHidden/>
          </w:rPr>
          <w:fldChar w:fldCharType="end"/>
        </w:r>
      </w:hyperlink>
    </w:p>
    <w:p w:rsidR="0034169D" w:rsidRDefault="00AB6211" w:rsidP="004D67C9">
      <w:pPr>
        <w:rPr>
          <w:lang w:val="en-US"/>
        </w:rPr>
      </w:pPr>
      <w:r w:rsidRPr="006E686D">
        <w:rPr>
          <w:rFonts w:ascii="Verdana" w:hAnsi="Verdana"/>
          <w:lang w:val="en-US"/>
        </w:rPr>
        <w:fldChar w:fldCharType="end"/>
      </w:r>
      <w:r w:rsidR="0034169D" w:rsidRPr="00CB3F05">
        <w:rPr>
          <w:lang w:val="en-US"/>
        </w:rPr>
        <w:br w:type="page"/>
      </w:r>
    </w:p>
    <w:tbl>
      <w:tblPr>
        <w:tblW w:w="9889" w:type="dxa"/>
        <w:tblBorders>
          <w:insideV w:val="single" w:sz="4" w:space="0" w:color="auto"/>
        </w:tblBorders>
        <w:tblLayout w:type="fixed"/>
        <w:tblLook w:val="00A0" w:firstRow="1" w:lastRow="0" w:firstColumn="1" w:lastColumn="0" w:noHBand="0" w:noVBand="0"/>
      </w:tblPr>
      <w:tblGrid>
        <w:gridCol w:w="7337"/>
        <w:gridCol w:w="2552"/>
      </w:tblGrid>
      <w:tr w:rsidR="0034169D" w:rsidRPr="001F0EB0" w:rsidTr="006B4B67">
        <w:tc>
          <w:tcPr>
            <w:tcW w:w="7337" w:type="dxa"/>
          </w:tcPr>
          <w:p w:rsidR="0034169D" w:rsidRPr="00603523" w:rsidRDefault="0034169D" w:rsidP="00190B32">
            <w:pPr>
              <w:pStyle w:val="1"/>
              <w:rPr>
                <w:rFonts w:ascii="Calibri" w:hAnsi="Calibri"/>
                <w:sz w:val="26"/>
                <w:szCs w:val="26"/>
                <w:lang w:val="nl-BE"/>
              </w:rPr>
            </w:pPr>
            <w:bookmarkStart w:id="1" w:name="_Toc350286777"/>
            <w:bookmarkStart w:id="2" w:name="_Toc316847625"/>
            <w:bookmarkStart w:id="3" w:name="_Toc317514568"/>
            <w:bookmarkStart w:id="4" w:name="_Toc317516108"/>
            <w:r w:rsidRPr="00603523">
              <w:rPr>
                <w:rFonts w:ascii="Calibri" w:hAnsi="Calibri"/>
                <w:sz w:val="26"/>
                <w:szCs w:val="26"/>
                <w:lang w:val="nl-BE"/>
              </w:rPr>
              <w:lastRenderedPageBreak/>
              <w:t xml:space="preserve">1. </w:t>
            </w:r>
            <w:r w:rsidR="00826452" w:rsidRPr="00603523">
              <w:rPr>
                <w:rFonts w:ascii="Calibri" w:hAnsi="Calibri"/>
                <w:sz w:val="26"/>
                <w:szCs w:val="26"/>
                <w:lang w:val="nl-BE"/>
              </w:rPr>
              <w:t>Inleiding</w:t>
            </w:r>
            <w:bookmarkEnd w:id="1"/>
          </w:p>
          <w:p w:rsidR="00826452" w:rsidRPr="00826452" w:rsidRDefault="00826452" w:rsidP="00EA4DEA">
            <w:pPr>
              <w:spacing w:line="276" w:lineRule="auto"/>
              <w:rPr>
                <w:lang w:val="nl-BE" w:eastAsia="en-US"/>
              </w:rPr>
            </w:pPr>
            <w:r w:rsidRPr="00826452">
              <w:rPr>
                <w:lang w:val="nl-BE" w:eastAsia="en-US"/>
              </w:rPr>
              <w:t xml:space="preserve">Het lijdt geen twijfel dat de verschillende mensenrechteninstrumenten die door verschillende landen worden in voegen gezet, weinig tot geen betekenis hebben als deze niet gepaard gaan met een adequate opvolging en controle. </w:t>
            </w:r>
            <w:r>
              <w:rPr>
                <w:lang w:val="nl-BE" w:eastAsia="en-US"/>
              </w:rPr>
              <w:t>Sinds de tweede wereldoorlog werden er een aantal dergelijke controlesystemen opgezet, om te kunnen ingrijpen als er zich mensenrechteninbreuken voordoen. De instellingen en procedures die deze controle garanderen, bestaan zowel in op het niveau van de VN systeem als in regionale mensenr</w:t>
            </w:r>
            <w:r w:rsidR="00603523">
              <w:rPr>
                <w:lang w:val="nl-BE" w:eastAsia="en-US"/>
              </w:rPr>
              <w:t>echtenorganisaties, zoa</w:t>
            </w:r>
            <w:r>
              <w:rPr>
                <w:lang w:val="nl-BE" w:eastAsia="en-US"/>
              </w:rPr>
              <w:t>l</w:t>
            </w:r>
            <w:r w:rsidR="00603523">
              <w:rPr>
                <w:lang w:val="nl-BE" w:eastAsia="en-US"/>
              </w:rPr>
              <w:t>s</w:t>
            </w:r>
            <w:r>
              <w:rPr>
                <w:lang w:val="nl-BE" w:eastAsia="en-US"/>
              </w:rPr>
              <w:t xml:space="preserve"> de Raad van Europa, de Organisatie van Amerikaanse Staten, de Afrikaanse Unie, enzoverder. </w:t>
            </w:r>
          </w:p>
          <w:p w:rsidR="00826452" w:rsidRDefault="00826452" w:rsidP="00EA4DEA">
            <w:pPr>
              <w:spacing w:line="276" w:lineRule="auto"/>
              <w:rPr>
                <w:lang w:val="nl-BE" w:eastAsia="en-US"/>
              </w:rPr>
            </w:pPr>
            <w:r>
              <w:rPr>
                <w:lang w:val="nl-BE" w:eastAsia="en-US"/>
              </w:rPr>
              <w:t>In dit korte hoofdstuk worden enkele ontwikkelingen met betrekking tot de controle en opvolging van internationale mensenrechten besproken. Er wordt eveneens een overzicht van de procedures die worden gevolgd bij dergelijke opvolging gegeven. Door deze twee elementen te belichten, krijgt de lezer eveneens een beter inzicht in de opvolging van foltering en mishandeling.</w:t>
            </w:r>
          </w:p>
          <w:p w:rsidR="0034169D" w:rsidRPr="00826452" w:rsidRDefault="0034169D" w:rsidP="00826452">
            <w:pPr>
              <w:pStyle w:val="1"/>
              <w:rPr>
                <w:lang w:val="nl-BE"/>
              </w:rPr>
            </w:pPr>
            <w:bookmarkStart w:id="5" w:name="_Toc350286778"/>
            <w:r w:rsidRPr="00603523">
              <w:rPr>
                <w:rFonts w:ascii="Calibri" w:hAnsi="Calibri"/>
                <w:sz w:val="26"/>
                <w:szCs w:val="26"/>
                <w:lang w:val="nl-BE"/>
              </w:rPr>
              <w:t xml:space="preserve">2. </w:t>
            </w:r>
            <w:bookmarkEnd w:id="2"/>
            <w:bookmarkEnd w:id="3"/>
            <w:bookmarkEnd w:id="4"/>
            <w:r w:rsidR="00826452" w:rsidRPr="00603523">
              <w:rPr>
                <w:rFonts w:ascii="Calibri" w:hAnsi="Calibri"/>
                <w:sz w:val="26"/>
                <w:szCs w:val="26"/>
                <w:lang w:val="nl-BE"/>
              </w:rPr>
              <w:t>De bes</w:t>
            </w:r>
            <w:r w:rsidR="00603523" w:rsidRPr="00603523">
              <w:rPr>
                <w:rFonts w:ascii="Calibri" w:hAnsi="Calibri"/>
                <w:sz w:val="26"/>
                <w:szCs w:val="26"/>
                <w:lang w:val="nl-BE"/>
              </w:rPr>
              <w:t>c</w:t>
            </w:r>
            <w:r w:rsidR="00826452" w:rsidRPr="00603523">
              <w:rPr>
                <w:rFonts w:ascii="Calibri" w:hAnsi="Calibri"/>
                <w:sz w:val="26"/>
                <w:szCs w:val="26"/>
                <w:lang w:val="nl-BE"/>
              </w:rPr>
              <w:t>herming van mensenrechten door internationale controle en opvolging</w:t>
            </w:r>
            <w:bookmarkEnd w:id="5"/>
          </w:p>
        </w:tc>
        <w:tc>
          <w:tcPr>
            <w:tcW w:w="2552" w:type="dxa"/>
          </w:tcPr>
          <w:p w:rsidR="0034169D" w:rsidRPr="00826452" w:rsidRDefault="0034169D" w:rsidP="00F1047C">
            <w:pPr>
              <w:pStyle w:val="a8"/>
              <w:spacing w:after="0" w:line="240" w:lineRule="auto"/>
              <w:ind w:left="313"/>
              <w:rPr>
                <w:rFonts w:cs="Calibri"/>
                <w:b/>
                <w:bCs/>
                <w:i/>
                <w:sz w:val="20"/>
                <w:szCs w:val="20"/>
                <w:lang w:val="nl-BE"/>
              </w:rPr>
            </w:pPr>
          </w:p>
        </w:tc>
      </w:tr>
      <w:tr w:rsidR="0034169D" w:rsidRPr="001F0EB0" w:rsidTr="006B4B67">
        <w:tc>
          <w:tcPr>
            <w:tcW w:w="7337" w:type="dxa"/>
          </w:tcPr>
          <w:p w:rsidR="00826452" w:rsidRPr="00826452" w:rsidRDefault="00826452" w:rsidP="00F1047C">
            <w:pPr>
              <w:pStyle w:val="a7"/>
              <w:rPr>
                <w:lang w:val="nl-BE"/>
              </w:rPr>
            </w:pPr>
            <w:r w:rsidRPr="00826452">
              <w:rPr>
                <w:lang w:val="nl-BE"/>
              </w:rPr>
              <w:t xml:space="preserve">Doorheen de laatste 65 jaar warden aantal belangrijke systemen om de verplichtingen die staten hebben ten aanzien van mensenrechten op te volgen en te controleren. </w:t>
            </w:r>
            <w:r>
              <w:rPr>
                <w:lang w:val="nl-BE"/>
              </w:rPr>
              <w:t xml:space="preserve">Dit is vooral het geval met betrekking tot de Verenigde Naties, maar ook met betrekking tot regionale instanties zoals de Raad van Europa, de Organisatie van Amerikaanse Staten, de Afrikaanse Unie, enzoverder. Deze ontwikkelingen zijn echter alles behalve evident of gemakkelijk, en de systemen om de controle en opvolging te verzekeren dragen nog steeds de sporen van de eerder chaotische manier waarop ze werden ontwikkeld. </w:t>
            </w:r>
          </w:p>
          <w:p w:rsidR="0034169D" w:rsidRPr="009A56A1" w:rsidRDefault="00826452" w:rsidP="00603523">
            <w:pPr>
              <w:pStyle w:val="a7"/>
              <w:rPr>
                <w:lang w:val="nl-BE"/>
              </w:rPr>
            </w:pPr>
            <w:r w:rsidRPr="00826452">
              <w:rPr>
                <w:lang w:val="nl-BE"/>
              </w:rPr>
              <w:t>Antonio Cançado Trindade, de voormalige president van de het Inter-Amerikaans</w:t>
            </w:r>
            <w:r>
              <w:rPr>
                <w:lang w:val="nl-BE"/>
              </w:rPr>
              <w:t xml:space="preserve"> Hof voor de Rechten van de Mens en huidige rechter in het Internationaal Gerechtshof in Den Haag, wees er in 1987 al op dat de evolutie van de internationale controle sterk afhankelijk was van enkele belangrijke theoretische ontwikkelingen in het internationale recht</w:t>
            </w:r>
            <w:r w:rsidR="009A56A1" w:rsidRPr="009A56A1">
              <w:rPr>
                <w:vertAlign w:val="superscript"/>
                <w:lang w:val="en-GB"/>
              </w:rPr>
              <w:footnoteReference w:id="1"/>
            </w:r>
            <w:r>
              <w:rPr>
                <w:lang w:val="nl-BE"/>
              </w:rPr>
              <w:t xml:space="preserve">. </w:t>
            </w:r>
            <w:r w:rsidR="009A56A1">
              <w:rPr>
                <w:lang w:val="nl-BE"/>
              </w:rPr>
              <w:t xml:space="preserve">Zo moest, </w:t>
            </w:r>
            <w:r w:rsidR="009A56A1" w:rsidRPr="00603523">
              <w:rPr>
                <w:i/>
                <w:lang w:val="nl-BE"/>
              </w:rPr>
              <w:t>inter alia</w:t>
            </w:r>
            <w:r w:rsidR="009A56A1">
              <w:rPr>
                <w:lang w:val="nl-BE"/>
              </w:rPr>
              <w:t xml:space="preserve">, de traditionele idee van nationale soevereiniteit die populair was in de jaren 50-60 eerst worden ingeperkt om controle door verschillende internationale commissies en comités mogelijk te maken. Een aantal factoren droegen bij tot de erosie van de doctrine van nationale soevereiniteit. In eerste instantie was het belangrijk dat staten de internationale mechanismen als subsidiair ten aanzien van de nationale mechanismen beschouwden, wat uiteraard impliceert </w:t>
            </w:r>
            <w:r w:rsidR="009A56A1">
              <w:rPr>
                <w:lang w:val="nl-BE"/>
              </w:rPr>
              <w:lastRenderedPageBreak/>
              <w:t>dat het zwaartepunt van de controle bij de nationale staat blijft liggen. Ten tweede, werden er enkele flexibele juridische technieken ontwikkeld die staten toelieten enkele stappen te ondernemen voor ze zelf a</w:t>
            </w:r>
            <w:r w:rsidR="00603523">
              <w:rPr>
                <w:lang w:val="nl-BE"/>
              </w:rPr>
              <w:t xml:space="preserve">an controle worden onderworpen, zoals </w:t>
            </w:r>
            <w:r w:rsidR="009A56A1">
              <w:rPr>
                <w:lang w:val="nl-BE"/>
              </w:rPr>
              <w:t xml:space="preserve">onder meer om klachtenprocedures. De afzwakking van de doctrine van nationale soevereiniteit ging gepaard met twee parallelle ontwikkelingen in internationaal recht, met name een uitbreiding van de mogelijkheid om individuele personen te laten deelnemen in de internationale controles en de toegenomen assertiviteit van internationale instellingen in hun strijd voor de bescherming van mensenrechten.  </w:t>
            </w:r>
          </w:p>
        </w:tc>
        <w:tc>
          <w:tcPr>
            <w:tcW w:w="2552" w:type="dxa"/>
          </w:tcPr>
          <w:p w:rsidR="0034169D" w:rsidRPr="009A56A1" w:rsidRDefault="0034169D" w:rsidP="006B4B67">
            <w:pPr>
              <w:pStyle w:val="a8"/>
              <w:spacing w:after="0" w:line="240" w:lineRule="auto"/>
              <w:ind w:left="318"/>
              <w:rPr>
                <w:rFonts w:cs="Calibri"/>
                <w:b/>
                <w:i/>
                <w:sz w:val="20"/>
                <w:szCs w:val="20"/>
                <w:lang w:val="nl-BE"/>
              </w:rPr>
            </w:pPr>
          </w:p>
          <w:p w:rsidR="0034169D" w:rsidRPr="009A56A1" w:rsidRDefault="0034169D" w:rsidP="006B4B67">
            <w:pPr>
              <w:pStyle w:val="a8"/>
              <w:spacing w:after="0" w:line="240" w:lineRule="auto"/>
              <w:ind w:left="318"/>
              <w:rPr>
                <w:rFonts w:cs="Calibri"/>
                <w:b/>
                <w:i/>
                <w:sz w:val="20"/>
                <w:szCs w:val="20"/>
                <w:lang w:val="nl-BE"/>
              </w:rPr>
            </w:pPr>
          </w:p>
        </w:tc>
      </w:tr>
      <w:tr w:rsidR="0034169D" w:rsidRPr="001F0EB0" w:rsidTr="006B4B67">
        <w:tc>
          <w:tcPr>
            <w:tcW w:w="7337" w:type="dxa"/>
          </w:tcPr>
          <w:p w:rsidR="009A56A1" w:rsidRDefault="009A56A1" w:rsidP="006B4B67">
            <w:pPr>
              <w:pStyle w:val="a7"/>
              <w:rPr>
                <w:lang w:val="nl-BE"/>
              </w:rPr>
            </w:pPr>
            <w:r>
              <w:rPr>
                <w:lang w:val="nl-BE"/>
              </w:rPr>
              <w:lastRenderedPageBreak/>
              <w:t>Veel van deze ontwikkelingen werden op hun beurt maar mogelijk gemaakt dankzij twee grote politieke ontwikkelingen. Een eerste was de dekolonisatie van de jaren 1960, die de nieuwe onafhankelijke staten toeliet om hun eigen nationale soevereiniteit terug te bevestigen</w:t>
            </w:r>
            <w:r w:rsidR="00B42D2B">
              <w:rPr>
                <w:lang w:val="nl-BE"/>
              </w:rPr>
              <w:t xml:space="preserve">, ook wat betreft mensenrechten. Een tweede belangrijke ontwikkeling in deze context was het einde van de Koude Oorlog en de val van de Berlijnse Muur in 1989, waardoor samenwerking inzake mensenrechten met voorheen onbereikbare staten mogelijk werd. </w:t>
            </w:r>
          </w:p>
          <w:p w:rsidR="0034169D" w:rsidRPr="00B42D2B" w:rsidRDefault="00B42D2B" w:rsidP="006B4B67">
            <w:pPr>
              <w:pStyle w:val="a7"/>
              <w:rPr>
                <w:lang w:val="nl-BE"/>
              </w:rPr>
            </w:pPr>
            <w:r w:rsidRPr="00B42D2B">
              <w:rPr>
                <w:lang w:val="nl-BE"/>
              </w:rPr>
              <w:t>Het is om deze redenen duidelijk dat het huidige systeem van controle en opvolging van mensenrechten het resultaat is van zowel theoretische en politieke ontwikkelingen, die eveneens de spanning tussen nationale en international</w:t>
            </w:r>
            <w:r>
              <w:rPr>
                <w:lang w:val="nl-BE"/>
              </w:rPr>
              <w:t>e</w:t>
            </w:r>
            <w:r w:rsidRPr="00B42D2B">
              <w:rPr>
                <w:lang w:val="nl-BE"/>
              </w:rPr>
              <w:t xml:space="preserve"> belangen scherp in het daglicht stellen. </w:t>
            </w:r>
          </w:p>
        </w:tc>
        <w:tc>
          <w:tcPr>
            <w:tcW w:w="2552" w:type="dxa"/>
          </w:tcPr>
          <w:p w:rsidR="0034169D" w:rsidRPr="00B42D2B" w:rsidRDefault="0034169D" w:rsidP="006B4B67">
            <w:pPr>
              <w:pStyle w:val="a8"/>
              <w:spacing w:after="0" w:line="240" w:lineRule="auto"/>
              <w:ind w:left="313"/>
              <w:rPr>
                <w:rFonts w:cs="Calibri"/>
                <w:i/>
                <w:sz w:val="20"/>
                <w:szCs w:val="20"/>
                <w:lang w:val="nl-BE"/>
              </w:rPr>
            </w:pPr>
          </w:p>
        </w:tc>
      </w:tr>
      <w:tr w:rsidR="0034169D" w:rsidRPr="001F0EB0" w:rsidTr="006B4B67">
        <w:tc>
          <w:tcPr>
            <w:tcW w:w="7337" w:type="dxa"/>
          </w:tcPr>
          <w:p w:rsidR="0034169D" w:rsidRPr="00B42D2B" w:rsidRDefault="0034169D" w:rsidP="00B42D2B">
            <w:pPr>
              <w:pStyle w:val="1"/>
              <w:rPr>
                <w:lang w:val="nl-BE"/>
              </w:rPr>
            </w:pPr>
            <w:bookmarkStart w:id="6" w:name="_Toc350286779"/>
            <w:r w:rsidRPr="00603523">
              <w:rPr>
                <w:rFonts w:ascii="Calibri" w:hAnsi="Calibri"/>
                <w:sz w:val="26"/>
                <w:szCs w:val="26"/>
                <w:lang w:val="nl-BE"/>
              </w:rPr>
              <w:t xml:space="preserve">3. </w:t>
            </w:r>
            <w:r w:rsidR="00B42D2B" w:rsidRPr="00603523">
              <w:rPr>
                <w:rFonts w:ascii="Calibri" w:hAnsi="Calibri"/>
                <w:sz w:val="26"/>
                <w:szCs w:val="26"/>
                <w:lang w:val="nl-BE"/>
              </w:rPr>
              <w:t>Overzicht van de internationale procedures</w:t>
            </w:r>
            <w:bookmarkEnd w:id="6"/>
            <w:r w:rsidR="00B42D2B" w:rsidRPr="00B42D2B">
              <w:rPr>
                <w:lang w:val="nl-BE"/>
              </w:rPr>
              <w:t xml:space="preserve"> </w:t>
            </w:r>
          </w:p>
        </w:tc>
        <w:tc>
          <w:tcPr>
            <w:tcW w:w="2552" w:type="dxa"/>
          </w:tcPr>
          <w:p w:rsidR="0034169D" w:rsidRPr="00B42D2B" w:rsidRDefault="0034169D" w:rsidP="006B4B67">
            <w:pPr>
              <w:pStyle w:val="a8"/>
              <w:spacing w:after="0" w:line="240" w:lineRule="auto"/>
              <w:ind w:left="313"/>
              <w:rPr>
                <w:rFonts w:cs="Calibri"/>
                <w:i/>
                <w:sz w:val="20"/>
                <w:szCs w:val="20"/>
                <w:lang w:val="nl-BE"/>
              </w:rPr>
            </w:pPr>
          </w:p>
        </w:tc>
      </w:tr>
      <w:tr w:rsidR="0034169D" w:rsidRPr="001F0EB0" w:rsidTr="006B4B67">
        <w:tc>
          <w:tcPr>
            <w:tcW w:w="7337" w:type="dxa"/>
          </w:tcPr>
          <w:p w:rsidR="00B42D2B" w:rsidRDefault="00450ACE" w:rsidP="00F1047C">
            <w:pPr>
              <w:spacing w:line="276" w:lineRule="auto"/>
              <w:rPr>
                <w:szCs w:val="22"/>
                <w:lang w:val="nl-BE" w:eastAsia="en-US"/>
              </w:rPr>
            </w:pPr>
            <w:r>
              <w:rPr>
                <w:szCs w:val="22"/>
                <w:lang w:val="nl-BE" w:eastAsia="en-US"/>
              </w:rPr>
              <w:t xml:space="preserve">Eenieder die een organigram van de VN of regionale organisaties in het veld van mensenrechtenbescherming bekijkt, zal waarschijnlijk schrikken en in de war zijn, gezien ze sterk lijken op een onontwarbaar kluwen van instellingen en procedures, eerder dan een transparante structuur. </w:t>
            </w:r>
          </w:p>
          <w:p w:rsidR="0034169D" w:rsidRPr="00450ACE" w:rsidRDefault="00450ACE" w:rsidP="00F1047C">
            <w:pPr>
              <w:spacing w:line="276" w:lineRule="auto"/>
              <w:rPr>
                <w:szCs w:val="22"/>
                <w:lang w:val="nl-BE" w:eastAsia="en-US"/>
              </w:rPr>
            </w:pPr>
            <w:r w:rsidRPr="00450ACE">
              <w:rPr>
                <w:szCs w:val="22"/>
                <w:lang w:val="nl-BE" w:eastAsia="en-US"/>
              </w:rPr>
              <w:t xml:space="preserve">In de volgende paragrafen wordt een beperkt overzicht gegeven van de belangrijkste types van internationale procedures inzake de opvolging en controle van mensenrechten. </w:t>
            </w:r>
            <w:r>
              <w:rPr>
                <w:szCs w:val="22"/>
                <w:lang w:val="nl-BE" w:eastAsia="en-US"/>
              </w:rPr>
              <w:t xml:space="preserve">Op deze manier hopen we een beter inzicht te verschaffen in de algemene achtergrond waartegen het Istanbul Protocol werkzaam is. </w:t>
            </w:r>
          </w:p>
        </w:tc>
        <w:tc>
          <w:tcPr>
            <w:tcW w:w="2552" w:type="dxa"/>
          </w:tcPr>
          <w:p w:rsidR="0034169D" w:rsidRPr="00450ACE" w:rsidRDefault="0034169D" w:rsidP="006B4B67">
            <w:pPr>
              <w:pStyle w:val="a8"/>
              <w:spacing w:after="0" w:line="240" w:lineRule="auto"/>
              <w:ind w:left="313"/>
              <w:rPr>
                <w:rFonts w:cs="Calibri"/>
                <w:i/>
                <w:sz w:val="20"/>
                <w:szCs w:val="20"/>
                <w:lang w:val="nl-BE"/>
              </w:rPr>
            </w:pPr>
          </w:p>
        </w:tc>
      </w:tr>
      <w:tr w:rsidR="0034169D" w:rsidRPr="002A3956" w:rsidTr="006B4B67">
        <w:tc>
          <w:tcPr>
            <w:tcW w:w="7337" w:type="dxa"/>
          </w:tcPr>
          <w:p w:rsidR="0034169D" w:rsidRPr="00C702EA" w:rsidRDefault="0034169D" w:rsidP="00603523">
            <w:pPr>
              <w:pStyle w:val="2"/>
              <w:ind w:left="284"/>
              <w:rPr>
                <w:lang w:val="en-US"/>
              </w:rPr>
            </w:pPr>
            <w:bookmarkStart w:id="7" w:name="_Toc350286780"/>
            <w:r w:rsidRPr="00603523">
              <w:rPr>
                <w:rFonts w:ascii="Calibri" w:hAnsi="Calibri" w:cs="Arial"/>
                <w:bCs w:val="0"/>
                <w:iCs/>
                <w:color w:val="auto"/>
                <w:kern w:val="32"/>
                <w:sz w:val="24"/>
                <w:szCs w:val="20"/>
                <w:lang w:val="nl-BE"/>
              </w:rPr>
              <w:t xml:space="preserve">3.1 </w:t>
            </w:r>
            <w:r w:rsidR="00450ACE" w:rsidRPr="00603523">
              <w:rPr>
                <w:rFonts w:ascii="Calibri" w:hAnsi="Calibri" w:cs="Arial"/>
                <w:bCs w:val="0"/>
                <w:iCs/>
                <w:color w:val="auto"/>
                <w:kern w:val="32"/>
                <w:sz w:val="24"/>
                <w:szCs w:val="20"/>
                <w:lang w:val="nl-BE"/>
              </w:rPr>
              <w:t>Rapportageprocedures</w:t>
            </w:r>
            <w:bookmarkEnd w:id="7"/>
          </w:p>
        </w:tc>
        <w:tc>
          <w:tcPr>
            <w:tcW w:w="2552" w:type="dxa"/>
          </w:tcPr>
          <w:p w:rsidR="0034169D" w:rsidRPr="004D67C9" w:rsidRDefault="0034169D" w:rsidP="00F1047C">
            <w:pPr>
              <w:pStyle w:val="a8"/>
              <w:spacing w:after="0" w:line="240" w:lineRule="auto"/>
              <w:ind w:left="313"/>
              <w:rPr>
                <w:rFonts w:cs="Calibri"/>
                <w:i/>
                <w:sz w:val="20"/>
                <w:szCs w:val="20"/>
                <w:lang w:val="en-US"/>
              </w:rPr>
            </w:pPr>
          </w:p>
        </w:tc>
      </w:tr>
      <w:tr w:rsidR="0034169D" w:rsidRPr="001F0EB0" w:rsidTr="006B4B67">
        <w:tc>
          <w:tcPr>
            <w:tcW w:w="7337" w:type="dxa"/>
          </w:tcPr>
          <w:p w:rsidR="0034169D" w:rsidRPr="00450ACE" w:rsidRDefault="00450ACE" w:rsidP="006B4B67">
            <w:pPr>
              <w:pStyle w:val="a7"/>
              <w:rPr>
                <w:lang w:val="nl-BE"/>
              </w:rPr>
            </w:pPr>
            <w:r w:rsidRPr="00450ACE">
              <w:rPr>
                <w:lang w:val="nl-BE"/>
              </w:rPr>
              <w:t>De</w:t>
            </w:r>
            <w:r w:rsidRPr="001F0EB0">
              <w:rPr>
                <w:lang w:val="en-US"/>
              </w:rPr>
              <w:t xml:space="preserve"> </w:t>
            </w:r>
            <w:r w:rsidRPr="00450ACE">
              <w:rPr>
                <w:lang w:val="nl-BE"/>
              </w:rPr>
              <w:t>wettelijke</w:t>
            </w:r>
            <w:r w:rsidRPr="001F0EB0">
              <w:rPr>
                <w:lang w:val="en-US"/>
              </w:rPr>
              <w:t xml:space="preserve"> </w:t>
            </w:r>
            <w:r w:rsidRPr="00450ACE">
              <w:rPr>
                <w:lang w:val="nl-BE"/>
              </w:rPr>
              <w:t>basis</w:t>
            </w:r>
            <w:r w:rsidRPr="001F0EB0">
              <w:rPr>
                <w:lang w:val="en-US"/>
              </w:rPr>
              <w:t xml:space="preserve"> </w:t>
            </w:r>
            <w:r w:rsidRPr="00450ACE">
              <w:rPr>
                <w:lang w:val="nl-BE"/>
              </w:rPr>
              <w:t>van</w:t>
            </w:r>
            <w:r w:rsidRPr="001F0EB0">
              <w:rPr>
                <w:lang w:val="en-US"/>
              </w:rPr>
              <w:t xml:space="preserve"> </w:t>
            </w:r>
            <w:r w:rsidRPr="00450ACE">
              <w:rPr>
                <w:lang w:val="nl-BE"/>
              </w:rPr>
              <w:t>de</w:t>
            </w:r>
            <w:r w:rsidRPr="001F0EB0">
              <w:rPr>
                <w:lang w:val="en-US"/>
              </w:rPr>
              <w:t xml:space="preserve"> </w:t>
            </w:r>
            <w:r w:rsidRPr="00450ACE">
              <w:rPr>
                <w:lang w:val="nl-BE"/>
              </w:rPr>
              <w:t>rapportageprocedures</w:t>
            </w:r>
            <w:r w:rsidRPr="001F0EB0">
              <w:rPr>
                <w:lang w:val="en-US"/>
              </w:rPr>
              <w:t xml:space="preserve"> </w:t>
            </w:r>
            <w:r w:rsidRPr="00450ACE">
              <w:rPr>
                <w:lang w:val="nl-BE"/>
              </w:rPr>
              <w:t>kan</w:t>
            </w:r>
            <w:r w:rsidRPr="001F0EB0">
              <w:rPr>
                <w:lang w:val="en-US"/>
              </w:rPr>
              <w:t xml:space="preserve"> </w:t>
            </w:r>
            <w:r w:rsidRPr="00450ACE">
              <w:rPr>
                <w:lang w:val="nl-BE"/>
              </w:rPr>
              <w:t>gevonden</w:t>
            </w:r>
            <w:r w:rsidRPr="001F0EB0">
              <w:rPr>
                <w:lang w:val="en-US"/>
              </w:rPr>
              <w:t xml:space="preserve"> </w:t>
            </w:r>
            <w:r w:rsidRPr="00450ACE">
              <w:rPr>
                <w:lang w:val="nl-BE"/>
              </w:rPr>
              <w:t>worden</w:t>
            </w:r>
            <w:r w:rsidRPr="001F0EB0">
              <w:rPr>
                <w:lang w:val="en-US"/>
              </w:rPr>
              <w:t xml:space="preserve"> </w:t>
            </w:r>
            <w:r w:rsidRPr="00450ACE">
              <w:rPr>
                <w:lang w:val="nl-BE"/>
              </w:rPr>
              <w:t>in</w:t>
            </w:r>
            <w:r w:rsidRPr="001F0EB0">
              <w:rPr>
                <w:lang w:val="en-US"/>
              </w:rPr>
              <w:t xml:space="preserve"> </w:t>
            </w:r>
            <w:r w:rsidRPr="00450ACE">
              <w:rPr>
                <w:lang w:val="nl-BE"/>
              </w:rPr>
              <w:t>een</w:t>
            </w:r>
            <w:r w:rsidRPr="001F0EB0">
              <w:rPr>
                <w:lang w:val="en-US"/>
              </w:rPr>
              <w:t xml:space="preserve"> </w:t>
            </w:r>
            <w:r w:rsidRPr="00450ACE">
              <w:rPr>
                <w:lang w:val="nl-BE"/>
              </w:rPr>
              <w:t>aantal</w:t>
            </w:r>
            <w:r w:rsidRPr="001F0EB0">
              <w:rPr>
                <w:lang w:val="en-US"/>
              </w:rPr>
              <w:t xml:space="preserve"> </w:t>
            </w:r>
            <w:r w:rsidRPr="00450ACE">
              <w:rPr>
                <w:lang w:val="nl-BE"/>
              </w:rPr>
              <w:t>belangrijke</w:t>
            </w:r>
            <w:r w:rsidRPr="001F0EB0">
              <w:rPr>
                <w:lang w:val="en-US"/>
              </w:rPr>
              <w:t xml:space="preserve"> </w:t>
            </w:r>
            <w:r w:rsidRPr="00450ACE">
              <w:rPr>
                <w:lang w:val="nl-BE"/>
              </w:rPr>
              <w:t>mensenrechtenverdragen</w:t>
            </w:r>
            <w:r w:rsidRPr="001F0EB0">
              <w:rPr>
                <w:lang w:val="en-US"/>
              </w:rPr>
              <w:t xml:space="preserve"> </w:t>
            </w:r>
            <w:r w:rsidRPr="00450ACE">
              <w:rPr>
                <w:lang w:val="nl-BE"/>
              </w:rPr>
              <w:t>van</w:t>
            </w:r>
            <w:r w:rsidRPr="001F0EB0">
              <w:rPr>
                <w:lang w:val="en-US"/>
              </w:rPr>
              <w:t xml:space="preserve"> </w:t>
            </w:r>
            <w:r w:rsidRPr="00450ACE">
              <w:rPr>
                <w:lang w:val="nl-BE"/>
              </w:rPr>
              <w:t>de</w:t>
            </w:r>
            <w:r w:rsidRPr="001F0EB0">
              <w:rPr>
                <w:lang w:val="en-US"/>
              </w:rPr>
              <w:t xml:space="preserve"> </w:t>
            </w:r>
            <w:r w:rsidRPr="00450ACE">
              <w:rPr>
                <w:lang w:val="nl-BE"/>
              </w:rPr>
              <w:t>Verenigde</w:t>
            </w:r>
            <w:r w:rsidRPr="001F0EB0">
              <w:rPr>
                <w:lang w:val="en-US"/>
              </w:rPr>
              <w:t xml:space="preserve"> </w:t>
            </w:r>
            <w:r w:rsidRPr="00450ACE">
              <w:rPr>
                <w:lang w:val="nl-BE"/>
              </w:rPr>
              <w:t>Naties</w:t>
            </w:r>
            <w:r w:rsidRPr="001F0EB0">
              <w:rPr>
                <w:lang w:val="en-US"/>
              </w:rPr>
              <w:t xml:space="preserve">. </w:t>
            </w:r>
            <w:r>
              <w:rPr>
                <w:lang w:val="nl-BE"/>
              </w:rPr>
              <w:t>Bijgevolg hebben de rapportageprocedures betrekking op een brede waaier aan burgerlijke, politieke, economische, sociale, culturele en collectieve rechten, waaronder zeker ook foltering en mishandeling:</w:t>
            </w:r>
          </w:p>
        </w:tc>
        <w:tc>
          <w:tcPr>
            <w:tcW w:w="2552" w:type="dxa"/>
          </w:tcPr>
          <w:p w:rsidR="0034169D" w:rsidRPr="00450ACE" w:rsidRDefault="0034169D" w:rsidP="006B4B67">
            <w:pPr>
              <w:pStyle w:val="a8"/>
              <w:spacing w:after="0" w:line="240" w:lineRule="auto"/>
              <w:ind w:left="313"/>
              <w:rPr>
                <w:rFonts w:cs="Calibri"/>
                <w:i/>
                <w:sz w:val="20"/>
                <w:szCs w:val="20"/>
                <w:lang w:val="nl-BE"/>
              </w:rPr>
            </w:pPr>
          </w:p>
        </w:tc>
      </w:tr>
      <w:tr w:rsidR="0034169D" w:rsidRPr="002A3956" w:rsidTr="006B4B67">
        <w:tc>
          <w:tcPr>
            <w:tcW w:w="7337" w:type="dxa"/>
          </w:tcPr>
          <w:p w:rsidR="0034169D" w:rsidRPr="00603523" w:rsidRDefault="000A5EED" w:rsidP="007D1DD3">
            <w:pPr>
              <w:pStyle w:val="a7"/>
              <w:numPr>
                <w:ilvl w:val="0"/>
                <w:numId w:val="5"/>
              </w:numPr>
              <w:rPr>
                <w:lang w:val="nl-BE"/>
              </w:rPr>
            </w:pPr>
            <w:hyperlink r:id="rId19" w:history="1">
              <w:r w:rsidR="0034169D" w:rsidRPr="00603523">
                <w:rPr>
                  <w:rStyle w:val="-"/>
                  <w:lang w:val="nl-BE"/>
                </w:rPr>
                <w:t>Internationa</w:t>
              </w:r>
              <w:r w:rsidR="00603523" w:rsidRPr="00603523">
                <w:rPr>
                  <w:rStyle w:val="-"/>
                  <w:lang w:val="nl-BE"/>
                </w:rPr>
                <w:t>a</w:t>
              </w:r>
              <w:r w:rsidR="0034169D" w:rsidRPr="00603523">
                <w:rPr>
                  <w:rStyle w:val="-"/>
                  <w:lang w:val="nl-BE"/>
                </w:rPr>
                <w:t xml:space="preserve">l </w:t>
              </w:r>
              <w:r w:rsidR="00603523" w:rsidRPr="00603523">
                <w:rPr>
                  <w:rStyle w:val="-"/>
                  <w:lang w:val="nl-BE"/>
                </w:rPr>
                <w:t>Verdrag</w:t>
              </w:r>
            </w:hyperlink>
            <w:r w:rsidR="00603523" w:rsidRPr="00603523">
              <w:rPr>
                <w:rStyle w:val="-"/>
                <w:lang w:val="nl-BE"/>
              </w:rPr>
              <w:t xml:space="preserve"> inzake de Uitbanning van Rassendiscriminatie</w:t>
            </w:r>
            <w:r w:rsidR="0034169D" w:rsidRPr="00603523">
              <w:rPr>
                <w:lang w:val="nl-BE"/>
              </w:rPr>
              <w:t>;</w:t>
            </w:r>
          </w:p>
          <w:p w:rsidR="0034169D" w:rsidRPr="00603523" w:rsidRDefault="000A5EED" w:rsidP="007D1DD3">
            <w:pPr>
              <w:pStyle w:val="a7"/>
              <w:numPr>
                <w:ilvl w:val="0"/>
                <w:numId w:val="5"/>
              </w:numPr>
              <w:rPr>
                <w:lang w:val="nl-BE"/>
              </w:rPr>
            </w:pPr>
            <w:hyperlink r:id="rId20" w:history="1">
              <w:r w:rsidR="00603523" w:rsidRPr="00603523">
                <w:rPr>
                  <w:rStyle w:val="-"/>
                  <w:lang w:val="nl-BE"/>
                </w:rPr>
                <w:t>Internationaal</w:t>
              </w:r>
            </w:hyperlink>
            <w:r w:rsidR="00603523" w:rsidRPr="00603523">
              <w:rPr>
                <w:rStyle w:val="-"/>
                <w:lang w:val="nl-BE"/>
              </w:rPr>
              <w:t xml:space="preserve"> Verdrag inzake Burgerrechten en Politieke Rechten</w:t>
            </w:r>
            <w:r w:rsidR="0034169D" w:rsidRPr="00603523">
              <w:rPr>
                <w:lang w:val="nl-BE"/>
              </w:rPr>
              <w:t>;</w:t>
            </w:r>
          </w:p>
          <w:p w:rsidR="0034169D" w:rsidRPr="00603523" w:rsidRDefault="000A5EED" w:rsidP="007D1DD3">
            <w:pPr>
              <w:pStyle w:val="a7"/>
              <w:numPr>
                <w:ilvl w:val="0"/>
                <w:numId w:val="5"/>
              </w:numPr>
              <w:rPr>
                <w:lang w:val="nl-BE"/>
              </w:rPr>
            </w:pPr>
            <w:hyperlink r:id="rId21" w:history="1">
              <w:r w:rsidR="0034169D" w:rsidRPr="00603523">
                <w:rPr>
                  <w:rStyle w:val="-"/>
                  <w:lang w:val="nl-BE"/>
                </w:rPr>
                <w:t>Internation</w:t>
              </w:r>
              <w:r w:rsidR="00603523" w:rsidRPr="00603523">
                <w:rPr>
                  <w:rStyle w:val="-"/>
                  <w:lang w:val="nl-BE"/>
                </w:rPr>
                <w:t>a</w:t>
              </w:r>
              <w:r w:rsidR="0034169D" w:rsidRPr="00603523">
                <w:rPr>
                  <w:rStyle w:val="-"/>
                  <w:lang w:val="nl-BE"/>
                </w:rPr>
                <w:t xml:space="preserve">al </w:t>
              </w:r>
              <w:r w:rsidR="00603523" w:rsidRPr="00603523">
                <w:rPr>
                  <w:rStyle w:val="-"/>
                  <w:lang w:val="nl-BE"/>
                </w:rPr>
                <w:t>Verdrag</w:t>
              </w:r>
            </w:hyperlink>
            <w:r w:rsidR="00603523">
              <w:rPr>
                <w:rStyle w:val="-"/>
                <w:lang w:val="nl-BE"/>
              </w:rPr>
              <w:t xml:space="preserve"> inzake Economische, Sociale en Culturele Rechten</w:t>
            </w:r>
            <w:r w:rsidR="0034169D" w:rsidRPr="00603523">
              <w:rPr>
                <w:lang w:val="nl-BE"/>
              </w:rPr>
              <w:t>;</w:t>
            </w:r>
          </w:p>
          <w:p w:rsidR="0034169D" w:rsidRPr="002D7AEA" w:rsidRDefault="000A5EED" w:rsidP="007D1DD3">
            <w:pPr>
              <w:pStyle w:val="a7"/>
              <w:numPr>
                <w:ilvl w:val="0"/>
                <w:numId w:val="5"/>
              </w:numPr>
              <w:rPr>
                <w:lang w:val="nl-BE"/>
              </w:rPr>
            </w:pPr>
            <w:hyperlink r:id="rId22" w:history="1">
              <w:r w:rsidR="00603523" w:rsidRPr="002D7AEA">
                <w:rPr>
                  <w:rStyle w:val="-"/>
                  <w:lang w:val="nl-BE"/>
                </w:rPr>
                <w:t>Verdrag</w:t>
              </w:r>
              <w:r w:rsidR="0034169D" w:rsidRPr="002D7AEA">
                <w:rPr>
                  <w:rStyle w:val="-"/>
                  <w:lang w:val="nl-BE"/>
                </w:rPr>
                <w:t xml:space="preserve"> </w:t>
              </w:r>
              <w:r w:rsidR="002D7AEA" w:rsidRPr="002D7AEA">
                <w:rPr>
                  <w:rStyle w:val="-"/>
                  <w:lang w:val="nl-BE"/>
                </w:rPr>
                <w:t>inzake de Uitbanning van alle vormen van Discriminatie tegen Vrouwen</w:t>
              </w:r>
            </w:hyperlink>
            <w:r w:rsidR="0034169D" w:rsidRPr="002D7AEA">
              <w:rPr>
                <w:lang w:val="nl-BE"/>
              </w:rPr>
              <w:t>;</w:t>
            </w:r>
          </w:p>
          <w:p w:rsidR="0034169D" w:rsidRPr="002D7AEA" w:rsidRDefault="000A5EED" w:rsidP="007D1DD3">
            <w:pPr>
              <w:pStyle w:val="a7"/>
              <w:numPr>
                <w:ilvl w:val="0"/>
                <w:numId w:val="5"/>
              </w:numPr>
              <w:rPr>
                <w:lang w:val="nl-BE"/>
              </w:rPr>
            </w:pPr>
            <w:hyperlink r:id="rId23" w:history="1">
              <w:r w:rsidR="002D7AEA">
                <w:rPr>
                  <w:rStyle w:val="-"/>
                  <w:lang w:val="nl-BE"/>
                </w:rPr>
                <w:t>Verdrag</w:t>
              </w:r>
              <w:r w:rsidR="002D7AEA" w:rsidRPr="002D7AEA">
                <w:rPr>
                  <w:rStyle w:val="-"/>
                  <w:lang w:val="nl-BE"/>
                </w:rPr>
                <w:t xml:space="preserve">  tegen Foltering en andere Wrede, Onmenselijke of Onterende Behandeling en Bestraffing</w:t>
              </w:r>
            </w:hyperlink>
            <w:r w:rsidR="0034169D" w:rsidRPr="002D7AEA">
              <w:rPr>
                <w:lang w:val="nl-BE"/>
              </w:rPr>
              <w:t>;</w:t>
            </w:r>
          </w:p>
          <w:p w:rsidR="0034169D" w:rsidRPr="002D7AEA" w:rsidRDefault="000A5EED" w:rsidP="0044770D">
            <w:pPr>
              <w:pStyle w:val="a7"/>
              <w:numPr>
                <w:ilvl w:val="0"/>
                <w:numId w:val="5"/>
              </w:numPr>
              <w:rPr>
                <w:lang w:val="nl-BE"/>
              </w:rPr>
            </w:pPr>
            <w:hyperlink r:id="rId24" w:history="1">
              <w:r w:rsidR="002D7AEA" w:rsidRPr="002D7AEA">
                <w:rPr>
                  <w:rStyle w:val="-"/>
                  <w:lang w:val="nl-BE"/>
                </w:rPr>
                <w:t>Verdrag inzake de Rechten van het Kind</w:t>
              </w:r>
            </w:hyperlink>
            <w:r w:rsidR="0034169D" w:rsidRPr="002D7AEA">
              <w:rPr>
                <w:lang w:val="nl-BE"/>
              </w:rPr>
              <w:t>;</w:t>
            </w:r>
          </w:p>
          <w:p w:rsidR="0034169D" w:rsidRPr="002D7AEA" w:rsidRDefault="002D7AEA" w:rsidP="002D7AEA">
            <w:pPr>
              <w:pStyle w:val="a7"/>
              <w:numPr>
                <w:ilvl w:val="0"/>
                <w:numId w:val="5"/>
              </w:numPr>
              <w:rPr>
                <w:rStyle w:val="-"/>
                <w:lang w:val="nl-BE"/>
              </w:rPr>
            </w:pPr>
            <w:r w:rsidRPr="002D7AEA">
              <w:rPr>
                <w:rStyle w:val="-"/>
                <w:lang w:val="nl-BE"/>
              </w:rPr>
              <w:t>Internationale Verdrag ter bescherming van alle arbeidsmigranten en van hun gezinsleden</w:t>
            </w:r>
            <w:r w:rsidR="0034169D" w:rsidRPr="002D7AEA">
              <w:rPr>
                <w:rStyle w:val="-"/>
                <w:lang w:val="nl-BE"/>
              </w:rPr>
              <w:t xml:space="preserve">; </w:t>
            </w:r>
            <w:r>
              <w:rPr>
                <w:rStyle w:val="-"/>
                <w:lang w:val="nl-BE"/>
              </w:rPr>
              <w:t>en</w:t>
            </w:r>
          </w:p>
          <w:p w:rsidR="0034169D" w:rsidRPr="002D7AEA" w:rsidRDefault="002D7AEA" w:rsidP="00FE5DDF">
            <w:pPr>
              <w:pStyle w:val="a7"/>
              <w:numPr>
                <w:ilvl w:val="0"/>
                <w:numId w:val="5"/>
              </w:numPr>
              <w:rPr>
                <w:lang w:val="nl-BE"/>
              </w:rPr>
            </w:pPr>
            <w:r w:rsidRPr="002D7AEA">
              <w:rPr>
                <w:rStyle w:val="-"/>
                <w:lang w:val="nl-BE"/>
              </w:rPr>
              <w:t>Verdrag inzake de Rechten van Personen met een Handicap</w:t>
            </w:r>
            <w:r w:rsidR="0034169D" w:rsidRPr="002D7AEA">
              <w:rPr>
                <w:rStyle w:val="-"/>
                <w:lang w:val="nl-BE"/>
              </w:rPr>
              <w:t>.</w:t>
            </w:r>
          </w:p>
        </w:tc>
        <w:tc>
          <w:tcPr>
            <w:tcW w:w="2552" w:type="dxa"/>
          </w:tcPr>
          <w:p w:rsidR="0034169D" w:rsidRPr="00DB0E87" w:rsidRDefault="002D7AEA" w:rsidP="00EE7B0B">
            <w:pPr>
              <w:pStyle w:val="a8"/>
              <w:numPr>
                <w:ilvl w:val="0"/>
                <w:numId w:val="7"/>
              </w:numPr>
              <w:spacing w:after="0" w:line="240" w:lineRule="auto"/>
              <w:ind w:left="318" w:hanging="284"/>
              <w:rPr>
                <w:rFonts w:cs="Calibri"/>
                <w:b/>
                <w:i/>
                <w:sz w:val="20"/>
                <w:szCs w:val="20"/>
                <w:lang w:val="en-US"/>
              </w:rPr>
            </w:pPr>
            <w:r>
              <w:rPr>
                <w:rFonts w:cs="Calibri"/>
                <w:i/>
                <w:sz w:val="20"/>
                <w:szCs w:val="20"/>
                <w:lang w:val="en-US"/>
              </w:rPr>
              <w:lastRenderedPageBreak/>
              <w:t>Lees</w:t>
            </w:r>
            <w:r w:rsidR="0034169D">
              <w:rPr>
                <w:rFonts w:cs="Calibri"/>
                <w:i/>
                <w:sz w:val="20"/>
                <w:szCs w:val="20"/>
                <w:lang w:val="en-US"/>
              </w:rPr>
              <w:t xml:space="preserve"> Art. 9 and Art. 15</w:t>
            </w:r>
          </w:p>
          <w:p w:rsidR="0034169D" w:rsidRPr="00DB0E87" w:rsidRDefault="0034169D" w:rsidP="00EE7B0B">
            <w:pPr>
              <w:pStyle w:val="a8"/>
              <w:spacing w:after="0" w:line="240" w:lineRule="auto"/>
              <w:ind w:left="318" w:hanging="284"/>
              <w:rPr>
                <w:rFonts w:cs="Calibri"/>
                <w:b/>
                <w:i/>
                <w:sz w:val="20"/>
                <w:szCs w:val="20"/>
                <w:lang w:val="en-US"/>
              </w:rPr>
            </w:pPr>
          </w:p>
          <w:p w:rsidR="0034169D" w:rsidRDefault="002D7AEA" w:rsidP="00EE7B0B">
            <w:pPr>
              <w:pStyle w:val="a8"/>
              <w:numPr>
                <w:ilvl w:val="0"/>
                <w:numId w:val="7"/>
              </w:numPr>
              <w:spacing w:after="0" w:line="240" w:lineRule="auto"/>
              <w:ind w:left="318" w:hanging="284"/>
              <w:rPr>
                <w:rFonts w:cs="Calibri"/>
                <w:i/>
                <w:sz w:val="20"/>
                <w:szCs w:val="20"/>
                <w:lang w:val="en-US"/>
              </w:rPr>
            </w:pPr>
            <w:r w:rsidRPr="002D7AEA">
              <w:rPr>
                <w:rFonts w:cs="Calibri"/>
                <w:i/>
                <w:sz w:val="20"/>
                <w:szCs w:val="20"/>
                <w:lang w:val="en-US"/>
              </w:rPr>
              <w:lastRenderedPageBreak/>
              <w:t>Lees</w:t>
            </w:r>
            <w:r w:rsidR="0034169D">
              <w:rPr>
                <w:rFonts w:cs="Calibri"/>
                <w:i/>
                <w:sz w:val="20"/>
                <w:szCs w:val="20"/>
                <w:lang w:val="en-US"/>
              </w:rPr>
              <w:t xml:space="preserve"> </w:t>
            </w:r>
            <w:r w:rsidR="0034169D" w:rsidRPr="00DB0E87">
              <w:rPr>
                <w:rFonts w:cs="Calibri"/>
                <w:i/>
                <w:sz w:val="20"/>
                <w:szCs w:val="20"/>
                <w:lang w:val="en-US"/>
              </w:rPr>
              <w:t>Art. 40</w:t>
            </w:r>
          </w:p>
          <w:p w:rsidR="0034169D" w:rsidRDefault="0034169D" w:rsidP="00EE7B0B">
            <w:pPr>
              <w:pStyle w:val="a8"/>
              <w:spacing w:after="0" w:line="240" w:lineRule="auto"/>
              <w:ind w:left="318" w:hanging="284"/>
              <w:rPr>
                <w:rFonts w:cs="Calibri"/>
                <w:i/>
                <w:sz w:val="20"/>
                <w:szCs w:val="20"/>
                <w:lang w:val="en-US"/>
              </w:rPr>
            </w:pPr>
          </w:p>
          <w:p w:rsidR="0034169D" w:rsidRDefault="002D7AEA" w:rsidP="00EE7B0B">
            <w:pPr>
              <w:pStyle w:val="a8"/>
              <w:numPr>
                <w:ilvl w:val="0"/>
                <w:numId w:val="7"/>
              </w:numPr>
              <w:spacing w:after="0" w:line="240" w:lineRule="auto"/>
              <w:ind w:left="318" w:hanging="284"/>
              <w:rPr>
                <w:rFonts w:cs="Calibri"/>
                <w:i/>
                <w:sz w:val="20"/>
                <w:szCs w:val="20"/>
                <w:lang w:val="en-US"/>
              </w:rPr>
            </w:pPr>
            <w:r w:rsidRPr="002D7AEA">
              <w:rPr>
                <w:rFonts w:cs="Calibri"/>
                <w:i/>
                <w:sz w:val="20"/>
                <w:szCs w:val="20"/>
                <w:lang w:val="en-US"/>
              </w:rPr>
              <w:t>Lees</w:t>
            </w:r>
            <w:r w:rsidR="0034169D">
              <w:rPr>
                <w:rFonts w:cs="Calibri"/>
                <w:i/>
                <w:sz w:val="20"/>
                <w:szCs w:val="20"/>
                <w:lang w:val="en-US"/>
              </w:rPr>
              <w:t xml:space="preserve"> Art. 16</w:t>
            </w:r>
          </w:p>
          <w:p w:rsidR="0034169D" w:rsidRDefault="0034169D" w:rsidP="00EE7B0B">
            <w:pPr>
              <w:pStyle w:val="a8"/>
              <w:spacing w:after="0" w:line="240" w:lineRule="auto"/>
              <w:ind w:left="318" w:hanging="284"/>
              <w:rPr>
                <w:rFonts w:cs="Calibri"/>
                <w:i/>
                <w:sz w:val="20"/>
                <w:szCs w:val="20"/>
                <w:lang w:val="en-US"/>
              </w:rPr>
            </w:pPr>
          </w:p>
          <w:p w:rsidR="0034169D" w:rsidRDefault="0034169D" w:rsidP="00EE7B0B">
            <w:pPr>
              <w:pStyle w:val="a8"/>
              <w:spacing w:after="0" w:line="240" w:lineRule="auto"/>
              <w:ind w:left="318" w:hanging="284"/>
              <w:rPr>
                <w:rFonts w:cs="Calibri"/>
                <w:i/>
                <w:sz w:val="20"/>
                <w:szCs w:val="20"/>
                <w:lang w:val="en-US"/>
              </w:rPr>
            </w:pPr>
          </w:p>
          <w:p w:rsidR="0034169D" w:rsidRDefault="002D7AEA" w:rsidP="00EE7B0B">
            <w:pPr>
              <w:pStyle w:val="a8"/>
              <w:numPr>
                <w:ilvl w:val="0"/>
                <w:numId w:val="7"/>
              </w:numPr>
              <w:spacing w:after="0" w:line="240" w:lineRule="auto"/>
              <w:ind w:left="318" w:hanging="284"/>
              <w:rPr>
                <w:rFonts w:cs="Calibri"/>
                <w:i/>
                <w:sz w:val="20"/>
                <w:szCs w:val="20"/>
                <w:lang w:val="en-US"/>
              </w:rPr>
            </w:pPr>
            <w:r w:rsidRPr="002D7AEA">
              <w:rPr>
                <w:rFonts w:cs="Calibri"/>
                <w:i/>
                <w:sz w:val="20"/>
                <w:szCs w:val="20"/>
                <w:lang w:val="en-US"/>
              </w:rPr>
              <w:t>Lees</w:t>
            </w:r>
            <w:r w:rsidR="0034169D">
              <w:rPr>
                <w:rFonts w:cs="Calibri"/>
                <w:i/>
                <w:sz w:val="20"/>
                <w:szCs w:val="20"/>
                <w:lang w:val="en-US"/>
              </w:rPr>
              <w:t xml:space="preserve"> Art. 18</w:t>
            </w:r>
            <w:r w:rsidR="0034169D">
              <w:rPr>
                <w:rFonts w:cs="Calibri"/>
                <w:i/>
                <w:sz w:val="20"/>
                <w:szCs w:val="20"/>
                <w:lang w:val="en-US"/>
              </w:rPr>
              <w:br/>
            </w:r>
          </w:p>
          <w:p w:rsidR="0034169D" w:rsidRDefault="0034169D">
            <w:pPr>
              <w:pStyle w:val="a8"/>
              <w:spacing w:after="0" w:line="240" w:lineRule="auto"/>
              <w:ind w:left="318"/>
              <w:rPr>
                <w:rFonts w:cs="Calibri"/>
                <w:i/>
                <w:sz w:val="20"/>
                <w:szCs w:val="20"/>
                <w:lang w:val="en-US"/>
              </w:rPr>
            </w:pPr>
          </w:p>
          <w:p w:rsidR="0034169D" w:rsidRDefault="002D7AEA" w:rsidP="00EE7B0B">
            <w:pPr>
              <w:pStyle w:val="a8"/>
              <w:numPr>
                <w:ilvl w:val="0"/>
                <w:numId w:val="7"/>
              </w:numPr>
              <w:spacing w:after="0" w:line="240" w:lineRule="auto"/>
              <w:ind w:left="318" w:hanging="284"/>
              <w:rPr>
                <w:rFonts w:cs="Calibri"/>
                <w:i/>
                <w:sz w:val="20"/>
                <w:szCs w:val="20"/>
                <w:lang w:val="en-US"/>
              </w:rPr>
            </w:pPr>
            <w:r w:rsidRPr="002D7AEA">
              <w:rPr>
                <w:rFonts w:cs="Calibri"/>
                <w:i/>
                <w:sz w:val="20"/>
                <w:szCs w:val="20"/>
                <w:lang w:val="en-US"/>
              </w:rPr>
              <w:t>Lees</w:t>
            </w:r>
            <w:r w:rsidR="0034169D">
              <w:rPr>
                <w:rFonts w:cs="Calibri"/>
                <w:i/>
                <w:sz w:val="20"/>
                <w:szCs w:val="20"/>
                <w:lang w:val="en-US"/>
              </w:rPr>
              <w:t xml:space="preserve"> Art. 19</w:t>
            </w:r>
          </w:p>
          <w:p w:rsidR="0034169D" w:rsidRDefault="0034169D">
            <w:pPr>
              <w:pStyle w:val="a8"/>
              <w:rPr>
                <w:rFonts w:cs="Calibri"/>
                <w:i/>
                <w:sz w:val="20"/>
                <w:szCs w:val="20"/>
                <w:lang w:val="en-US"/>
              </w:rPr>
            </w:pPr>
          </w:p>
          <w:p w:rsidR="0034169D" w:rsidRPr="0044770D" w:rsidRDefault="0034169D" w:rsidP="00EE7B0B">
            <w:pPr>
              <w:pStyle w:val="a8"/>
              <w:spacing w:after="0" w:line="240" w:lineRule="auto"/>
              <w:ind w:left="318" w:hanging="284"/>
              <w:rPr>
                <w:rFonts w:cs="Calibri"/>
                <w:i/>
                <w:sz w:val="8"/>
                <w:szCs w:val="8"/>
                <w:lang w:val="en-US"/>
              </w:rPr>
            </w:pPr>
          </w:p>
          <w:p w:rsidR="0034169D" w:rsidRPr="0044770D" w:rsidRDefault="002D7AEA" w:rsidP="00EE7B0B">
            <w:pPr>
              <w:pStyle w:val="a8"/>
              <w:numPr>
                <w:ilvl w:val="0"/>
                <w:numId w:val="7"/>
              </w:numPr>
              <w:spacing w:after="0" w:line="240" w:lineRule="auto"/>
              <w:ind w:left="318" w:hanging="284"/>
              <w:rPr>
                <w:rFonts w:cs="Calibri"/>
                <w:i/>
                <w:sz w:val="20"/>
                <w:szCs w:val="20"/>
                <w:lang w:val="en-US"/>
              </w:rPr>
            </w:pPr>
            <w:r w:rsidRPr="002D7AEA">
              <w:rPr>
                <w:rFonts w:cs="Calibri"/>
                <w:i/>
                <w:sz w:val="20"/>
                <w:szCs w:val="20"/>
                <w:lang w:val="en-US"/>
              </w:rPr>
              <w:t>Lees</w:t>
            </w:r>
            <w:r w:rsidR="0034169D">
              <w:rPr>
                <w:rFonts w:cs="Calibri"/>
                <w:i/>
                <w:sz w:val="20"/>
                <w:szCs w:val="20"/>
                <w:lang w:val="en-US"/>
              </w:rPr>
              <w:t xml:space="preserve"> Art. 44</w:t>
            </w:r>
          </w:p>
        </w:tc>
      </w:tr>
      <w:tr w:rsidR="0034169D" w:rsidRPr="001F0EB0" w:rsidTr="006B4B67">
        <w:tc>
          <w:tcPr>
            <w:tcW w:w="7337" w:type="dxa"/>
          </w:tcPr>
          <w:p w:rsidR="00450ACE" w:rsidRPr="001F0EB0" w:rsidRDefault="00450ACE" w:rsidP="006B4B67">
            <w:pPr>
              <w:pStyle w:val="a7"/>
              <w:rPr>
                <w:lang w:val="en-US"/>
              </w:rPr>
            </w:pPr>
            <w:r w:rsidRPr="00450ACE">
              <w:rPr>
                <w:lang w:val="nl-BE"/>
              </w:rPr>
              <w:lastRenderedPageBreak/>
              <w:t>Rapportageprocedures</w:t>
            </w:r>
            <w:r w:rsidRPr="001F0EB0">
              <w:rPr>
                <w:lang w:val="en-US"/>
              </w:rPr>
              <w:t xml:space="preserve"> </w:t>
            </w:r>
            <w:r w:rsidRPr="00450ACE">
              <w:rPr>
                <w:lang w:val="nl-BE"/>
              </w:rPr>
              <w:t>impliceren</w:t>
            </w:r>
            <w:r w:rsidRPr="001F0EB0">
              <w:rPr>
                <w:lang w:val="en-US"/>
              </w:rPr>
              <w:t xml:space="preserve"> </w:t>
            </w:r>
            <w:r w:rsidRPr="00450ACE">
              <w:rPr>
                <w:lang w:val="nl-BE"/>
              </w:rPr>
              <w:t>dat</w:t>
            </w:r>
            <w:r w:rsidRPr="001F0EB0">
              <w:rPr>
                <w:lang w:val="en-US"/>
              </w:rPr>
              <w:t xml:space="preserve"> </w:t>
            </w:r>
            <w:r w:rsidRPr="00450ACE">
              <w:rPr>
                <w:lang w:val="nl-BE"/>
              </w:rPr>
              <w:t>de</w:t>
            </w:r>
            <w:r w:rsidRPr="001F0EB0">
              <w:rPr>
                <w:lang w:val="en-US"/>
              </w:rPr>
              <w:t xml:space="preserve"> </w:t>
            </w:r>
            <w:r w:rsidRPr="00450ACE">
              <w:rPr>
                <w:lang w:val="nl-BE"/>
              </w:rPr>
              <w:t>verschillende</w:t>
            </w:r>
            <w:r w:rsidRPr="001F0EB0">
              <w:rPr>
                <w:lang w:val="en-US"/>
              </w:rPr>
              <w:t xml:space="preserve"> </w:t>
            </w:r>
            <w:r w:rsidRPr="00450ACE">
              <w:rPr>
                <w:lang w:val="nl-BE"/>
              </w:rPr>
              <w:t>partijen</w:t>
            </w:r>
            <w:r w:rsidRPr="001F0EB0">
              <w:rPr>
                <w:lang w:val="en-US"/>
              </w:rPr>
              <w:t xml:space="preserve"> </w:t>
            </w:r>
            <w:r w:rsidRPr="00450ACE">
              <w:rPr>
                <w:lang w:val="nl-BE"/>
              </w:rPr>
              <w:t>betrokken</w:t>
            </w:r>
            <w:r w:rsidRPr="001F0EB0">
              <w:rPr>
                <w:lang w:val="en-US"/>
              </w:rPr>
              <w:t xml:space="preserve"> </w:t>
            </w:r>
            <w:r w:rsidRPr="00450ACE">
              <w:rPr>
                <w:lang w:val="nl-BE"/>
              </w:rPr>
              <w:t>bij</w:t>
            </w:r>
            <w:r w:rsidRPr="001F0EB0">
              <w:rPr>
                <w:lang w:val="en-US"/>
              </w:rPr>
              <w:t xml:space="preserve"> </w:t>
            </w:r>
            <w:r w:rsidRPr="00450ACE">
              <w:rPr>
                <w:lang w:val="nl-BE"/>
              </w:rPr>
              <w:t>de</w:t>
            </w:r>
            <w:r w:rsidRPr="001F0EB0">
              <w:rPr>
                <w:lang w:val="en-US"/>
              </w:rPr>
              <w:t xml:space="preserve"> </w:t>
            </w:r>
            <w:r w:rsidRPr="00450ACE">
              <w:rPr>
                <w:lang w:val="nl-BE"/>
              </w:rPr>
              <w:t>respectieve</w:t>
            </w:r>
            <w:r w:rsidRPr="001F0EB0">
              <w:rPr>
                <w:lang w:val="en-US"/>
              </w:rPr>
              <w:t xml:space="preserve"> </w:t>
            </w:r>
            <w:r w:rsidRPr="00450ACE">
              <w:rPr>
                <w:lang w:val="nl-BE"/>
              </w:rPr>
              <w:t>procedures</w:t>
            </w:r>
            <w:r w:rsidRPr="001F0EB0">
              <w:rPr>
                <w:lang w:val="en-US"/>
              </w:rPr>
              <w:t xml:space="preserve"> </w:t>
            </w:r>
            <w:r w:rsidRPr="00450ACE">
              <w:rPr>
                <w:lang w:val="nl-BE"/>
              </w:rPr>
              <w:t>periodiek</w:t>
            </w:r>
            <w:r w:rsidRPr="001F0EB0">
              <w:rPr>
                <w:lang w:val="en-US"/>
              </w:rPr>
              <w:t xml:space="preserve"> </w:t>
            </w:r>
            <w:r w:rsidRPr="00450ACE">
              <w:rPr>
                <w:lang w:val="nl-BE"/>
              </w:rPr>
              <w:t>rapporteren</w:t>
            </w:r>
            <w:r w:rsidRPr="001F0EB0">
              <w:rPr>
                <w:lang w:val="en-US"/>
              </w:rPr>
              <w:t xml:space="preserve"> </w:t>
            </w:r>
            <w:r w:rsidRPr="00450ACE">
              <w:rPr>
                <w:lang w:val="nl-BE"/>
              </w:rPr>
              <w:t>over</w:t>
            </w:r>
            <w:r w:rsidRPr="001F0EB0">
              <w:rPr>
                <w:lang w:val="en-US"/>
              </w:rPr>
              <w:t xml:space="preserve"> </w:t>
            </w:r>
            <w:r w:rsidRPr="00450ACE">
              <w:rPr>
                <w:lang w:val="nl-BE"/>
              </w:rPr>
              <w:t>de</w:t>
            </w:r>
            <w:r w:rsidRPr="001F0EB0">
              <w:rPr>
                <w:lang w:val="en-US"/>
              </w:rPr>
              <w:t xml:space="preserve"> </w:t>
            </w:r>
            <w:r w:rsidRPr="00450ACE">
              <w:rPr>
                <w:lang w:val="nl-BE"/>
              </w:rPr>
              <w:t>mensenrechtensituatie</w:t>
            </w:r>
            <w:r w:rsidRPr="001F0EB0">
              <w:rPr>
                <w:lang w:val="en-US"/>
              </w:rPr>
              <w:t xml:space="preserve"> </w:t>
            </w:r>
            <w:r w:rsidRPr="00450ACE">
              <w:rPr>
                <w:lang w:val="nl-BE"/>
              </w:rPr>
              <w:t>in</w:t>
            </w:r>
            <w:r w:rsidRPr="001F0EB0">
              <w:rPr>
                <w:lang w:val="en-US"/>
              </w:rPr>
              <w:t xml:space="preserve"> </w:t>
            </w:r>
            <w:r w:rsidRPr="00450ACE">
              <w:rPr>
                <w:lang w:val="nl-BE"/>
              </w:rPr>
              <w:t>hun</w:t>
            </w:r>
            <w:r w:rsidRPr="001F0EB0">
              <w:rPr>
                <w:lang w:val="en-US"/>
              </w:rPr>
              <w:t xml:space="preserve"> </w:t>
            </w:r>
            <w:r w:rsidRPr="00450ACE">
              <w:rPr>
                <w:lang w:val="nl-BE"/>
              </w:rPr>
              <w:t>land</w:t>
            </w:r>
            <w:r w:rsidRPr="001F0EB0">
              <w:rPr>
                <w:lang w:val="en-US"/>
              </w:rPr>
              <w:t xml:space="preserve">. </w:t>
            </w:r>
            <w:r>
              <w:rPr>
                <w:lang w:val="nl-BE"/>
              </w:rPr>
              <w:t>Er moet, met andere woorden, een overzicht worden gegeven met betrekking tot de implementatie van mensenrechten, de promotie van mensenrechten, en de bescherming van mensenrechten. Deze soort procedures kan beschouwd worden als de “normale” of “standaard” procedures inzake de internationale controle en opvolging van mensenrechten, aangezien rapportage een integraal onderdeel uitmaakt van quasi alle belangrijke internationale verdragen.</w:t>
            </w:r>
          </w:p>
          <w:p w:rsidR="00450ACE" w:rsidRDefault="00450ACE" w:rsidP="006B4B67">
            <w:pPr>
              <w:pStyle w:val="a7"/>
              <w:rPr>
                <w:lang w:val="nl-BE"/>
              </w:rPr>
            </w:pPr>
            <w:r>
              <w:rPr>
                <w:lang w:val="nl-BE"/>
              </w:rPr>
              <w:t xml:space="preserve">De grote kracht van rapportageprocedures ligt in het feit dat ze internationale controleorganen van periodieke rapporten voorzien waarin wordt aangegeven in hoeverre ze de diverse mensenrechtenverdragen implementeren of niet. </w:t>
            </w:r>
            <w:r w:rsidR="00551D31">
              <w:rPr>
                <w:lang w:val="nl-BE"/>
              </w:rPr>
              <w:t xml:space="preserve">Zodoende stellen ze deze controleorganen in staat om kritische vragen te formuleren wanneer de lidstaten zelf hun rapport komen toelichten, en zo de zogenaamde “constructieve dialoog” tussen de controleorganen en de lidstaten op gang te brengen. </w:t>
            </w:r>
          </w:p>
          <w:p w:rsidR="0034169D" w:rsidRPr="00551D31" w:rsidRDefault="00551D31" w:rsidP="006B4B67">
            <w:pPr>
              <w:pStyle w:val="a7"/>
              <w:rPr>
                <w:lang w:val="nl-BE"/>
              </w:rPr>
            </w:pPr>
            <w:r w:rsidRPr="00551D31">
              <w:rPr>
                <w:lang w:val="nl-BE"/>
              </w:rPr>
              <w:t xml:space="preserve">Er zijn echter zeker ook zwaktes verbonden aan de rapportageprocedures. </w:t>
            </w:r>
            <w:r>
              <w:rPr>
                <w:lang w:val="nl-BE"/>
              </w:rPr>
              <w:t xml:space="preserve">De belangrijkste tekortkoming is het feit dat de conclusies en aanbevelingen van de controleorganen niet bindend zijn voor de lidstaten – althans niet in juridische termen. Een ander probleempunt zijn de vertragingen waarmee de rapporten vaak worden ingediend, wat er soms toe leidt dat het controleorgaan een dialoog met de betrokken lidstaat opstart op basis van erg verouderde informatie. </w:t>
            </w:r>
          </w:p>
        </w:tc>
        <w:tc>
          <w:tcPr>
            <w:tcW w:w="2552" w:type="dxa"/>
          </w:tcPr>
          <w:p w:rsidR="0034169D" w:rsidRPr="00551D31" w:rsidRDefault="0034169D" w:rsidP="006B4B67">
            <w:pPr>
              <w:pStyle w:val="a8"/>
              <w:spacing w:after="0" w:line="240" w:lineRule="auto"/>
              <w:ind w:left="313"/>
              <w:rPr>
                <w:rFonts w:cs="Calibri"/>
                <w:i/>
                <w:sz w:val="20"/>
                <w:szCs w:val="20"/>
                <w:lang w:val="nl-BE"/>
              </w:rPr>
            </w:pPr>
          </w:p>
        </w:tc>
      </w:tr>
      <w:tr w:rsidR="0034169D" w:rsidRPr="00EE24BF" w:rsidTr="006B4B67">
        <w:tc>
          <w:tcPr>
            <w:tcW w:w="7337" w:type="dxa"/>
          </w:tcPr>
          <w:p w:rsidR="0034169D" w:rsidRPr="00C702EA" w:rsidRDefault="0034169D" w:rsidP="002D7AEA">
            <w:pPr>
              <w:pStyle w:val="2"/>
              <w:ind w:left="284"/>
              <w:rPr>
                <w:lang w:val="en-US"/>
              </w:rPr>
            </w:pPr>
            <w:bookmarkStart w:id="8" w:name="_Toc350286781"/>
            <w:r w:rsidRPr="002D7AEA">
              <w:rPr>
                <w:rFonts w:ascii="Calibri" w:hAnsi="Calibri" w:cs="Arial"/>
                <w:bCs w:val="0"/>
                <w:iCs/>
                <w:color w:val="auto"/>
                <w:kern w:val="32"/>
                <w:sz w:val="24"/>
                <w:szCs w:val="20"/>
                <w:lang w:val="nl-BE"/>
              </w:rPr>
              <w:t xml:space="preserve">3.2 </w:t>
            </w:r>
            <w:r w:rsidR="00551D31" w:rsidRPr="002D7AEA">
              <w:rPr>
                <w:rFonts w:ascii="Calibri" w:hAnsi="Calibri" w:cs="Arial"/>
                <w:bCs w:val="0"/>
                <w:iCs/>
                <w:color w:val="auto"/>
                <w:kern w:val="32"/>
                <w:sz w:val="24"/>
                <w:szCs w:val="20"/>
                <w:lang w:val="nl-BE"/>
              </w:rPr>
              <w:t>Klachtenprocedures</w:t>
            </w:r>
            <w:bookmarkEnd w:id="8"/>
          </w:p>
        </w:tc>
        <w:tc>
          <w:tcPr>
            <w:tcW w:w="2552" w:type="dxa"/>
          </w:tcPr>
          <w:p w:rsidR="0034169D" w:rsidRPr="004D67C9" w:rsidRDefault="0034169D" w:rsidP="006B4B67">
            <w:pPr>
              <w:pStyle w:val="a8"/>
              <w:spacing w:after="0" w:line="240" w:lineRule="auto"/>
              <w:ind w:left="313"/>
              <w:rPr>
                <w:rFonts w:cs="Calibri"/>
                <w:b/>
                <w:i/>
                <w:sz w:val="20"/>
                <w:szCs w:val="20"/>
                <w:lang w:val="en-US"/>
              </w:rPr>
            </w:pPr>
          </w:p>
        </w:tc>
      </w:tr>
      <w:tr w:rsidR="0034169D" w:rsidRPr="001F0EB0" w:rsidTr="006B4B67">
        <w:tc>
          <w:tcPr>
            <w:tcW w:w="7337" w:type="dxa"/>
          </w:tcPr>
          <w:p w:rsidR="0034169D" w:rsidRPr="00551D31" w:rsidRDefault="00551D31" w:rsidP="00551D31">
            <w:pPr>
              <w:pStyle w:val="a7"/>
              <w:rPr>
                <w:lang w:val="nl-BE"/>
              </w:rPr>
            </w:pPr>
            <w:r w:rsidRPr="00603523">
              <w:rPr>
                <w:lang w:val="nl-BE"/>
              </w:rPr>
              <w:t xml:space="preserve">Klachtenprocedures zijn een tweede vorm van international opvolging of monitoring. </w:t>
            </w:r>
            <w:r w:rsidRPr="00551D31">
              <w:rPr>
                <w:lang w:val="nl-BE"/>
              </w:rPr>
              <w:t xml:space="preserve">Ze zorgen ervoor dat individuele gevallen van mensenrechteninbreuken hun weg vinden naar de controleorganen. </w:t>
            </w:r>
            <w:r>
              <w:rPr>
                <w:lang w:val="nl-BE"/>
              </w:rPr>
              <w:t xml:space="preserve">Dergelijke </w:t>
            </w:r>
            <w:r>
              <w:rPr>
                <w:lang w:val="nl-BE"/>
              </w:rPr>
              <w:lastRenderedPageBreak/>
              <w:t>klachten kunnen door staten tegen een andere staat worden ingediend (de “interstatelijke klachten”), of door individuele personen of groepen van personen tegen een staat worden ingediend (de “individuele klachten”).</w:t>
            </w:r>
          </w:p>
        </w:tc>
        <w:tc>
          <w:tcPr>
            <w:tcW w:w="2552" w:type="dxa"/>
          </w:tcPr>
          <w:p w:rsidR="0034169D" w:rsidRPr="00551D31" w:rsidRDefault="0034169D" w:rsidP="00F1047C">
            <w:pPr>
              <w:spacing w:after="0" w:line="240" w:lineRule="auto"/>
              <w:rPr>
                <w:rFonts w:cs="Calibri"/>
                <w:i/>
                <w:sz w:val="20"/>
                <w:szCs w:val="20"/>
                <w:lang w:val="nl-BE"/>
              </w:rPr>
            </w:pPr>
          </w:p>
        </w:tc>
      </w:tr>
      <w:tr w:rsidR="0034169D" w:rsidRPr="001F0EB0" w:rsidTr="006B4B67">
        <w:tc>
          <w:tcPr>
            <w:tcW w:w="7337" w:type="dxa"/>
          </w:tcPr>
          <w:p w:rsidR="0034169D" w:rsidRPr="00551D31" w:rsidRDefault="00551D31" w:rsidP="007D1DD3">
            <w:pPr>
              <w:pStyle w:val="a7"/>
              <w:rPr>
                <w:lang w:val="nl-BE"/>
              </w:rPr>
            </w:pPr>
            <w:r>
              <w:rPr>
                <w:lang w:val="nl-BE"/>
              </w:rPr>
              <w:lastRenderedPageBreak/>
              <w:t>Niet alle mensenrechtenverdragen voorzien in een klachtenprocedure. Bij de VN, bijvoorbeeld, voorzien slechts vijf van de grote verdragen de mogelijkheid voor individuen om klachten tegen een staat te formuleren:</w:t>
            </w:r>
          </w:p>
        </w:tc>
        <w:tc>
          <w:tcPr>
            <w:tcW w:w="2552" w:type="dxa"/>
          </w:tcPr>
          <w:p w:rsidR="0034169D" w:rsidRPr="00551D31" w:rsidRDefault="0034169D" w:rsidP="00F1047C">
            <w:pPr>
              <w:pStyle w:val="a8"/>
              <w:spacing w:after="0" w:line="240" w:lineRule="auto"/>
              <w:ind w:left="313"/>
              <w:rPr>
                <w:rFonts w:cs="Calibri"/>
                <w:i/>
                <w:sz w:val="20"/>
                <w:szCs w:val="20"/>
                <w:lang w:val="nl-BE"/>
              </w:rPr>
            </w:pPr>
          </w:p>
        </w:tc>
      </w:tr>
      <w:tr w:rsidR="0034169D" w:rsidRPr="00642339" w:rsidTr="006B4B67">
        <w:tc>
          <w:tcPr>
            <w:tcW w:w="7337" w:type="dxa"/>
          </w:tcPr>
          <w:p w:rsidR="0034169D" w:rsidRPr="002D7AEA" w:rsidRDefault="000A5EED" w:rsidP="007D1DD3">
            <w:pPr>
              <w:pStyle w:val="a7"/>
              <w:numPr>
                <w:ilvl w:val="0"/>
                <w:numId w:val="6"/>
              </w:numPr>
              <w:rPr>
                <w:lang w:val="nl-BE"/>
              </w:rPr>
            </w:pPr>
            <w:hyperlink r:id="rId25" w:history="1">
              <w:r w:rsidR="002D7AEA" w:rsidRPr="00603523">
                <w:rPr>
                  <w:rStyle w:val="-"/>
                  <w:lang w:val="nl-BE"/>
                </w:rPr>
                <w:t>Internationaal Verdrag</w:t>
              </w:r>
            </w:hyperlink>
            <w:r w:rsidR="002D7AEA" w:rsidRPr="00603523">
              <w:rPr>
                <w:rStyle w:val="-"/>
                <w:lang w:val="nl-BE"/>
              </w:rPr>
              <w:t xml:space="preserve"> inzake de Uitbanning van Rassendiscriminatie</w:t>
            </w:r>
            <w:r w:rsidR="0034169D" w:rsidRPr="002D7AEA">
              <w:rPr>
                <w:lang w:val="nl-BE"/>
              </w:rPr>
              <w:t>;</w:t>
            </w:r>
          </w:p>
          <w:p w:rsidR="0034169D" w:rsidRPr="002D7AEA" w:rsidRDefault="002D7AEA" w:rsidP="007D1DD3">
            <w:pPr>
              <w:pStyle w:val="a7"/>
              <w:numPr>
                <w:ilvl w:val="0"/>
                <w:numId w:val="6"/>
              </w:numPr>
              <w:rPr>
                <w:lang w:val="nl-BE"/>
              </w:rPr>
            </w:pPr>
            <w:r w:rsidRPr="002D7AEA">
              <w:rPr>
                <w:lang w:val="nl-BE"/>
              </w:rPr>
              <w:t>Internationaal Verdrag inzake Burgerrechten en Politieke Rechten</w:t>
            </w:r>
            <w:r w:rsidR="0034169D" w:rsidRPr="002D7AEA">
              <w:rPr>
                <w:lang w:val="nl-BE"/>
              </w:rPr>
              <w:t xml:space="preserve"> (</w:t>
            </w:r>
            <w:r>
              <w:rPr>
                <w:lang w:val="nl-BE"/>
              </w:rPr>
              <w:t>in een</w:t>
            </w:r>
            <w:r w:rsidR="0034169D" w:rsidRPr="002D7AEA">
              <w:rPr>
                <w:lang w:val="nl-BE"/>
              </w:rPr>
              <w:t xml:space="preserve"> </w:t>
            </w:r>
            <w:hyperlink r:id="rId26" w:history="1">
              <w:r w:rsidR="0034169D" w:rsidRPr="002D7AEA">
                <w:rPr>
                  <w:rStyle w:val="-"/>
                  <w:lang w:val="nl-BE"/>
                </w:rPr>
                <w:t>o</w:t>
              </w:r>
              <w:r>
                <w:rPr>
                  <w:rStyle w:val="-"/>
                  <w:lang w:val="nl-BE"/>
                </w:rPr>
                <w:t>ptioneel protocol</w:t>
              </w:r>
            </w:hyperlink>
            <w:r w:rsidR="0034169D" w:rsidRPr="002D7AEA">
              <w:rPr>
                <w:lang w:val="nl-BE"/>
              </w:rPr>
              <w:t>);</w:t>
            </w:r>
          </w:p>
          <w:p w:rsidR="0034169D" w:rsidRPr="002D7AEA" w:rsidRDefault="000A5EED" w:rsidP="006B4B67">
            <w:pPr>
              <w:pStyle w:val="a7"/>
              <w:numPr>
                <w:ilvl w:val="0"/>
                <w:numId w:val="6"/>
              </w:numPr>
              <w:rPr>
                <w:lang w:val="nl-BE"/>
              </w:rPr>
            </w:pPr>
            <w:hyperlink r:id="rId27" w:history="1">
              <w:r w:rsidR="002D7AEA">
                <w:rPr>
                  <w:rStyle w:val="-"/>
                  <w:lang w:val="nl-BE"/>
                </w:rPr>
                <w:t>Verdrag</w:t>
              </w:r>
              <w:r w:rsidR="002D7AEA" w:rsidRPr="002D7AEA">
                <w:rPr>
                  <w:rStyle w:val="-"/>
                  <w:lang w:val="nl-BE"/>
                </w:rPr>
                <w:t xml:space="preserve"> tegen Foltering en andere Wrede, Onmenselijke of Onterende Behandeling en Bestraffing</w:t>
              </w:r>
            </w:hyperlink>
            <w:r w:rsidR="0034169D" w:rsidRPr="002D7AEA">
              <w:rPr>
                <w:lang w:val="nl-BE"/>
              </w:rPr>
              <w:t>;</w:t>
            </w:r>
          </w:p>
          <w:p w:rsidR="0034169D" w:rsidRPr="002D7AEA" w:rsidRDefault="000A5EED" w:rsidP="00753DDD">
            <w:pPr>
              <w:pStyle w:val="a7"/>
              <w:numPr>
                <w:ilvl w:val="0"/>
                <w:numId w:val="6"/>
              </w:numPr>
              <w:rPr>
                <w:lang w:val="nl-BE"/>
              </w:rPr>
            </w:pPr>
            <w:hyperlink r:id="rId28" w:history="1">
              <w:r w:rsidR="002D7AEA" w:rsidRPr="002D7AEA">
                <w:rPr>
                  <w:rStyle w:val="-"/>
                  <w:lang w:val="nl-BE"/>
                </w:rPr>
                <w:t>Verdrag inzake de Uitbanning van alle vormen van Discriminatie tegen Vrouwen</w:t>
              </w:r>
            </w:hyperlink>
            <w:r w:rsidR="0034169D" w:rsidRPr="002D7AEA">
              <w:rPr>
                <w:lang w:val="nl-BE"/>
              </w:rPr>
              <w:t xml:space="preserve">; </w:t>
            </w:r>
            <w:r w:rsidR="002D7AEA">
              <w:rPr>
                <w:lang w:val="nl-BE"/>
              </w:rPr>
              <w:t>en</w:t>
            </w:r>
          </w:p>
          <w:p w:rsidR="0034169D" w:rsidRPr="002D7AEA" w:rsidRDefault="002D7AEA" w:rsidP="006B4B67">
            <w:pPr>
              <w:pStyle w:val="a7"/>
              <w:numPr>
                <w:ilvl w:val="0"/>
                <w:numId w:val="6"/>
              </w:numPr>
              <w:rPr>
                <w:lang w:val="nl-BE"/>
              </w:rPr>
            </w:pPr>
            <w:r w:rsidRPr="002D7AEA">
              <w:rPr>
                <w:rStyle w:val="-"/>
                <w:lang w:val="nl-BE"/>
              </w:rPr>
              <w:t>Verdrag inzake de Rechten van Personen met een Handicap</w:t>
            </w:r>
            <w:r w:rsidR="0034169D" w:rsidRPr="002D7AEA">
              <w:rPr>
                <w:rStyle w:val="-"/>
                <w:lang w:val="nl-BE"/>
              </w:rPr>
              <w:t>.</w:t>
            </w:r>
          </w:p>
          <w:p w:rsidR="00551D31" w:rsidRPr="00551D31" w:rsidRDefault="00551D31" w:rsidP="006B4B67">
            <w:pPr>
              <w:pStyle w:val="a7"/>
              <w:rPr>
                <w:lang w:val="nl-BE"/>
              </w:rPr>
            </w:pPr>
            <w:r w:rsidRPr="00551D31">
              <w:rPr>
                <w:lang w:val="nl-BE"/>
              </w:rPr>
              <w:t xml:space="preserve">In de praktijk zijn de klachtenprocedures meestal toegespitst op burgerlijke en politieke rechten, waaronder foltering en mishandeling. </w:t>
            </w:r>
            <w:r>
              <w:rPr>
                <w:lang w:val="nl-BE"/>
              </w:rPr>
              <w:t xml:space="preserve">Het Facultatief Protocol </w:t>
            </w:r>
            <w:r w:rsidR="00772B5B">
              <w:rPr>
                <w:lang w:val="nl-BE"/>
              </w:rPr>
              <w:t>voorziet een klachtenprocedure inzake economische, sociale en culturele rechten, doch is nog n</w:t>
            </w:r>
            <w:r w:rsidR="008B7B57">
              <w:rPr>
                <w:lang w:val="nl-BE"/>
              </w:rPr>
              <w:t xml:space="preserve">iet van kracht hoewel het werd </w:t>
            </w:r>
            <w:r w:rsidR="00772B5B">
              <w:rPr>
                <w:lang w:val="nl-BE"/>
              </w:rPr>
              <w:t xml:space="preserve">aangenomen in 2008. Het Verdrag inzake De Rechten van het Kind voorziet evenmin in een klachtenprocedure. </w:t>
            </w:r>
          </w:p>
          <w:p w:rsidR="00772B5B" w:rsidRPr="00772B5B" w:rsidRDefault="00772B5B" w:rsidP="006B4B67">
            <w:pPr>
              <w:pStyle w:val="a7"/>
              <w:rPr>
                <w:lang w:val="nl-BE"/>
              </w:rPr>
            </w:pPr>
            <w:r w:rsidRPr="00772B5B">
              <w:rPr>
                <w:lang w:val="nl-BE"/>
              </w:rPr>
              <w:t xml:space="preserve">Naast de VN-verdragen, voorzien enkele </w:t>
            </w:r>
            <w:r w:rsidR="008B7B57">
              <w:rPr>
                <w:lang w:val="nl-BE"/>
              </w:rPr>
              <w:t xml:space="preserve">andere grote </w:t>
            </w:r>
            <w:r w:rsidRPr="00772B5B">
              <w:rPr>
                <w:lang w:val="nl-BE"/>
              </w:rPr>
              <w:t>mensenrechtenverdragen op regionaal niveau eveneens in klachtenprocedures:</w:t>
            </w:r>
          </w:p>
          <w:p w:rsidR="0034169D" w:rsidRPr="008B7B57" w:rsidRDefault="008B7B57" w:rsidP="002900D7">
            <w:pPr>
              <w:pStyle w:val="a7"/>
              <w:numPr>
                <w:ilvl w:val="0"/>
                <w:numId w:val="6"/>
              </w:numPr>
              <w:rPr>
                <w:lang w:val="nl-BE"/>
              </w:rPr>
            </w:pPr>
            <w:r w:rsidRPr="008B7B57">
              <w:rPr>
                <w:lang w:val="nl-BE"/>
              </w:rPr>
              <w:t>Europees Ve</w:t>
            </w:r>
            <w:r>
              <w:rPr>
                <w:lang w:val="nl-BE"/>
              </w:rPr>
              <w:t>r</w:t>
            </w:r>
            <w:r w:rsidRPr="008B7B57">
              <w:rPr>
                <w:lang w:val="nl-BE"/>
              </w:rPr>
              <w:t>drag ter Bescherming van de Rechten van de Mens en de Fundamentele Vrijheden</w:t>
            </w:r>
            <w:r w:rsidR="0034169D" w:rsidRPr="008B7B57">
              <w:rPr>
                <w:lang w:val="nl-BE"/>
              </w:rPr>
              <w:t>;</w:t>
            </w:r>
          </w:p>
          <w:p w:rsidR="0034169D" w:rsidRPr="008B7B57" w:rsidRDefault="0034169D" w:rsidP="002900D7">
            <w:pPr>
              <w:pStyle w:val="a7"/>
              <w:numPr>
                <w:ilvl w:val="0"/>
                <w:numId w:val="6"/>
              </w:numPr>
              <w:rPr>
                <w:lang w:val="nl-BE"/>
              </w:rPr>
            </w:pPr>
            <w:r w:rsidRPr="008B7B57">
              <w:rPr>
                <w:lang w:val="nl-BE"/>
              </w:rPr>
              <w:t xml:space="preserve"> </w:t>
            </w:r>
            <w:r w:rsidR="008B7B57" w:rsidRPr="008B7B57">
              <w:rPr>
                <w:lang w:val="nl-BE"/>
              </w:rPr>
              <w:t>Amerikaans verdrag voor de Rechten van de Mens</w:t>
            </w:r>
            <w:r w:rsidRPr="008B7B57">
              <w:rPr>
                <w:lang w:val="nl-BE"/>
              </w:rPr>
              <w:t>;</w:t>
            </w:r>
          </w:p>
          <w:p w:rsidR="0034169D" w:rsidRPr="008B7B57" w:rsidRDefault="008B7B57" w:rsidP="002900D7">
            <w:pPr>
              <w:pStyle w:val="a7"/>
              <w:numPr>
                <w:ilvl w:val="0"/>
                <w:numId w:val="6"/>
              </w:numPr>
              <w:rPr>
                <w:lang w:val="nl-BE"/>
              </w:rPr>
            </w:pPr>
            <w:r w:rsidRPr="008B7B57">
              <w:rPr>
                <w:lang w:val="nl-BE"/>
              </w:rPr>
              <w:t>Afrikaans Handvest inzake de Rechten van de Mens en de Volkeren</w:t>
            </w:r>
            <w:r w:rsidR="0034169D" w:rsidRPr="008B7B57">
              <w:rPr>
                <w:lang w:val="nl-BE"/>
              </w:rPr>
              <w:t>.</w:t>
            </w:r>
          </w:p>
        </w:tc>
        <w:tc>
          <w:tcPr>
            <w:tcW w:w="2552" w:type="dxa"/>
          </w:tcPr>
          <w:p w:rsidR="0034169D" w:rsidRDefault="008B7B57" w:rsidP="00EE7B0B">
            <w:pPr>
              <w:pStyle w:val="a8"/>
              <w:numPr>
                <w:ilvl w:val="0"/>
                <w:numId w:val="8"/>
              </w:numPr>
              <w:spacing w:after="0" w:line="240" w:lineRule="auto"/>
              <w:ind w:left="318" w:hanging="284"/>
              <w:rPr>
                <w:rFonts w:cs="Calibri"/>
                <w:i/>
                <w:sz w:val="20"/>
                <w:szCs w:val="20"/>
                <w:lang w:val="en-US"/>
              </w:rPr>
            </w:pPr>
            <w:proofErr w:type="spellStart"/>
            <w:r>
              <w:rPr>
                <w:rFonts w:cs="Calibri"/>
                <w:i/>
                <w:sz w:val="20"/>
                <w:szCs w:val="20"/>
                <w:lang w:val="en-US"/>
              </w:rPr>
              <w:t>Zie</w:t>
            </w:r>
            <w:proofErr w:type="spellEnd"/>
            <w:r w:rsidR="0034169D">
              <w:rPr>
                <w:rFonts w:cs="Calibri"/>
                <w:i/>
                <w:sz w:val="20"/>
                <w:szCs w:val="20"/>
                <w:lang w:val="en-US"/>
              </w:rPr>
              <w:t xml:space="preserve"> art. 11 – Art. 16</w:t>
            </w:r>
          </w:p>
          <w:p w:rsidR="008B7B57" w:rsidRPr="008B7B57" w:rsidRDefault="008B7B57" w:rsidP="008B7B57">
            <w:pPr>
              <w:pStyle w:val="a8"/>
              <w:spacing w:after="0" w:line="240" w:lineRule="auto"/>
              <w:ind w:left="318"/>
              <w:rPr>
                <w:rFonts w:cs="Calibri"/>
                <w:i/>
                <w:sz w:val="20"/>
                <w:szCs w:val="20"/>
                <w:lang w:val="en-US"/>
              </w:rPr>
            </w:pPr>
          </w:p>
          <w:p w:rsidR="0034169D" w:rsidRPr="008B7B57" w:rsidRDefault="008B7B57" w:rsidP="00EE7B0B">
            <w:pPr>
              <w:pStyle w:val="a8"/>
              <w:numPr>
                <w:ilvl w:val="0"/>
                <w:numId w:val="8"/>
              </w:numPr>
              <w:spacing w:after="0" w:line="240" w:lineRule="auto"/>
              <w:ind w:left="318" w:hanging="284"/>
              <w:rPr>
                <w:rFonts w:cs="Calibri"/>
                <w:i/>
                <w:sz w:val="20"/>
                <w:szCs w:val="20"/>
                <w:lang w:val="nl-BE"/>
              </w:rPr>
            </w:pPr>
            <w:r w:rsidRPr="008B7B57">
              <w:rPr>
                <w:rFonts w:cs="Calibri"/>
                <w:i/>
                <w:sz w:val="20"/>
                <w:szCs w:val="20"/>
                <w:lang w:val="nl-BE"/>
              </w:rPr>
              <w:t>Lees de tekst van het optioneel protocol voor meer details</w:t>
            </w:r>
          </w:p>
          <w:p w:rsidR="0034169D" w:rsidRDefault="008B7B57" w:rsidP="00EE7B0B">
            <w:pPr>
              <w:pStyle w:val="a8"/>
              <w:numPr>
                <w:ilvl w:val="0"/>
                <w:numId w:val="8"/>
              </w:numPr>
              <w:spacing w:after="0" w:line="240" w:lineRule="auto"/>
              <w:ind w:left="318" w:hanging="284"/>
              <w:rPr>
                <w:rFonts w:cs="Calibri"/>
                <w:i/>
                <w:sz w:val="20"/>
                <w:szCs w:val="20"/>
                <w:lang w:val="en-US"/>
              </w:rPr>
            </w:pPr>
            <w:proofErr w:type="spellStart"/>
            <w:r>
              <w:rPr>
                <w:rFonts w:cs="Calibri"/>
                <w:i/>
                <w:sz w:val="20"/>
                <w:szCs w:val="20"/>
                <w:lang w:val="en-US"/>
              </w:rPr>
              <w:t>Zie</w:t>
            </w:r>
            <w:proofErr w:type="spellEnd"/>
            <w:r w:rsidR="0034169D">
              <w:rPr>
                <w:rFonts w:cs="Calibri"/>
                <w:i/>
                <w:sz w:val="20"/>
                <w:szCs w:val="20"/>
                <w:lang w:val="en-US"/>
              </w:rPr>
              <w:t xml:space="preserve"> Art. 20-23</w:t>
            </w:r>
          </w:p>
          <w:p w:rsidR="0034169D" w:rsidRDefault="0034169D" w:rsidP="00EE7B0B">
            <w:pPr>
              <w:spacing w:after="0" w:line="240" w:lineRule="auto"/>
              <w:rPr>
                <w:rFonts w:cs="Calibri"/>
                <w:i/>
                <w:sz w:val="20"/>
                <w:szCs w:val="20"/>
                <w:lang w:val="en-US"/>
              </w:rPr>
            </w:pPr>
          </w:p>
          <w:p w:rsidR="0034169D" w:rsidRDefault="0034169D" w:rsidP="00EE7B0B">
            <w:pPr>
              <w:spacing w:after="0" w:line="240" w:lineRule="auto"/>
              <w:rPr>
                <w:rFonts w:cs="Calibri"/>
                <w:i/>
                <w:sz w:val="20"/>
                <w:szCs w:val="20"/>
                <w:lang w:val="en-US"/>
              </w:rPr>
            </w:pPr>
          </w:p>
          <w:p w:rsidR="0034169D" w:rsidRDefault="0034169D" w:rsidP="00EE7B0B">
            <w:pPr>
              <w:spacing w:after="0" w:line="240" w:lineRule="auto"/>
              <w:rPr>
                <w:rFonts w:cs="Calibri"/>
                <w:i/>
                <w:sz w:val="20"/>
                <w:szCs w:val="20"/>
                <w:lang w:val="en-US"/>
              </w:rPr>
            </w:pPr>
          </w:p>
          <w:p w:rsidR="0034169D" w:rsidRDefault="0034169D" w:rsidP="00EE7B0B">
            <w:pPr>
              <w:spacing w:after="0" w:line="240" w:lineRule="auto"/>
              <w:rPr>
                <w:rFonts w:cs="Calibri"/>
                <w:i/>
                <w:sz w:val="20"/>
                <w:szCs w:val="20"/>
                <w:lang w:val="en-US"/>
              </w:rPr>
            </w:pPr>
          </w:p>
          <w:p w:rsidR="0034169D" w:rsidRDefault="0034169D" w:rsidP="00EE7B0B">
            <w:pPr>
              <w:spacing w:after="0" w:line="240" w:lineRule="auto"/>
              <w:rPr>
                <w:rFonts w:cs="Calibri"/>
                <w:i/>
                <w:sz w:val="20"/>
                <w:szCs w:val="20"/>
                <w:lang w:val="en-US"/>
              </w:rPr>
            </w:pPr>
          </w:p>
          <w:p w:rsidR="0034169D" w:rsidRDefault="0034169D" w:rsidP="00EE7B0B">
            <w:pPr>
              <w:spacing w:after="0" w:line="240" w:lineRule="auto"/>
              <w:rPr>
                <w:rFonts w:cs="Calibri"/>
                <w:i/>
                <w:sz w:val="20"/>
                <w:szCs w:val="20"/>
                <w:lang w:val="en-US"/>
              </w:rPr>
            </w:pPr>
          </w:p>
          <w:p w:rsidR="0034169D" w:rsidRDefault="0034169D" w:rsidP="00EE7B0B">
            <w:pPr>
              <w:spacing w:after="0" w:line="240" w:lineRule="auto"/>
              <w:rPr>
                <w:rFonts w:cs="Calibri"/>
                <w:i/>
                <w:sz w:val="20"/>
                <w:szCs w:val="20"/>
                <w:lang w:val="en-US"/>
              </w:rPr>
            </w:pPr>
          </w:p>
          <w:p w:rsidR="0034169D" w:rsidRDefault="0034169D" w:rsidP="00EE7B0B">
            <w:pPr>
              <w:spacing w:after="0" w:line="240" w:lineRule="auto"/>
              <w:rPr>
                <w:rFonts w:cs="Calibri"/>
                <w:i/>
                <w:sz w:val="20"/>
                <w:szCs w:val="20"/>
                <w:lang w:val="en-US"/>
              </w:rPr>
            </w:pPr>
          </w:p>
          <w:p w:rsidR="0034169D" w:rsidRDefault="0034169D" w:rsidP="00EE7B0B">
            <w:pPr>
              <w:spacing w:after="0" w:line="240" w:lineRule="auto"/>
              <w:rPr>
                <w:rFonts w:cs="Calibri"/>
                <w:i/>
                <w:sz w:val="20"/>
                <w:szCs w:val="20"/>
                <w:lang w:val="en-US"/>
              </w:rPr>
            </w:pPr>
          </w:p>
          <w:p w:rsidR="0034169D" w:rsidRDefault="0034169D" w:rsidP="00EE7B0B">
            <w:pPr>
              <w:spacing w:after="0" w:line="240" w:lineRule="auto"/>
              <w:rPr>
                <w:rFonts w:cs="Calibri"/>
                <w:i/>
                <w:sz w:val="20"/>
                <w:szCs w:val="20"/>
                <w:lang w:val="en-US"/>
              </w:rPr>
            </w:pPr>
          </w:p>
          <w:p w:rsidR="0034169D" w:rsidRDefault="0034169D" w:rsidP="00EE7B0B">
            <w:pPr>
              <w:spacing w:after="0" w:line="240" w:lineRule="auto"/>
              <w:rPr>
                <w:rFonts w:cs="Calibri"/>
                <w:i/>
                <w:sz w:val="20"/>
                <w:szCs w:val="20"/>
                <w:lang w:val="en-US"/>
              </w:rPr>
            </w:pPr>
          </w:p>
          <w:p w:rsidR="00772B5B" w:rsidRDefault="00772B5B" w:rsidP="00EE7B0B">
            <w:pPr>
              <w:spacing w:after="0" w:line="240" w:lineRule="auto"/>
              <w:rPr>
                <w:rFonts w:cs="Calibri"/>
                <w:i/>
                <w:sz w:val="20"/>
                <w:szCs w:val="20"/>
                <w:lang w:val="en-US"/>
              </w:rPr>
            </w:pPr>
          </w:p>
          <w:p w:rsidR="0034169D" w:rsidRDefault="008B7B57" w:rsidP="00642339">
            <w:pPr>
              <w:pStyle w:val="a8"/>
              <w:numPr>
                <w:ilvl w:val="0"/>
                <w:numId w:val="8"/>
              </w:numPr>
              <w:spacing w:after="0" w:line="240" w:lineRule="auto"/>
              <w:ind w:left="318" w:hanging="284"/>
              <w:rPr>
                <w:rFonts w:cs="Calibri"/>
                <w:i/>
                <w:sz w:val="20"/>
                <w:szCs w:val="20"/>
                <w:lang w:val="en-US"/>
              </w:rPr>
            </w:pPr>
            <w:r>
              <w:rPr>
                <w:rFonts w:cs="Calibri"/>
                <w:i/>
                <w:sz w:val="20"/>
                <w:szCs w:val="20"/>
                <w:lang w:val="en-US"/>
              </w:rPr>
              <w:t>Lees</w:t>
            </w:r>
            <w:r w:rsidR="0034169D">
              <w:rPr>
                <w:rFonts w:cs="Calibri"/>
                <w:i/>
                <w:sz w:val="20"/>
                <w:szCs w:val="20"/>
                <w:lang w:val="en-US"/>
              </w:rPr>
              <w:t xml:space="preserve"> Art. 34</w:t>
            </w:r>
          </w:p>
          <w:p w:rsidR="0034169D" w:rsidRDefault="0034169D" w:rsidP="00642339">
            <w:pPr>
              <w:pStyle w:val="a8"/>
              <w:spacing w:after="0" w:line="240" w:lineRule="auto"/>
              <w:ind w:left="34"/>
              <w:rPr>
                <w:rFonts w:cs="Calibri"/>
                <w:i/>
                <w:sz w:val="20"/>
                <w:szCs w:val="20"/>
                <w:lang w:val="en-US"/>
              </w:rPr>
            </w:pPr>
          </w:p>
          <w:p w:rsidR="0034169D" w:rsidRDefault="0034169D" w:rsidP="00642339">
            <w:pPr>
              <w:pStyle w:val="a8"/>
              <w:spacing w:after="0" w:line="240" w:lineRule="auto"/>
              <w:ind w:left="34"/>
              <w:rPr>
                <w:rFonts w:cs="Calibri"/>
                <w:i/>
                <w:sz w:val="20"/>
                <w:szCs w:val="20"/>
                <w:lang w:val="en-US"/>
              </w:rPr>
            </w:pPr>
          </w:p>
          <w:p w:rsidR="0034169D" w:rsidRDefault="008B7B57" w:rsidP="00642339">
            <w:pPr>
              <w:pStyle w:val="a8"/>
              <w:numPr>
                <w:ilvl w:val="0"/>
                <w:numId w:val="8"/>
              </w:numPr>
              <w:spacing w:after="0" w:line="240" w:lineRule="auto"/>
              <w:ind w:left="318" w:hanging="284"/>
              <w:rPr>
                <w:rFonts w:cs="Calibri"/>
                <w:i/>
                <w:sz w:val="20"/>
                <w:szCs w:val="20"/>
                <w:lang w:val="en-US"/>
              </w:rPr>
            </w:pPr>
            <w:r>
              <w:rPr>
                <w:rFonts w:cs="Calibri"/>
                <w:i/>
                <w:sz w:val="20"/>
                <w:szCs w:val="20"/>
                <w:lang w:val="en-US"/>
              </w:rPr>
              <w:t>Lees</w:t>
            </w:r>
            <w:r w:rsidR="0034169D">
              <w:rPr>
                <w:rFonts w:cs="Calibri"/>
                <w:i/>
                <w:sz w:val="20"/>
                <w:szCs w:val="20"/>
                <w:lang w:val="en-US"/>
              </w:rPr>
              <w:t xml:space="preserve"> Art. 44</w:t>
            </w:r>
          </w:p>
          <w:p w:rsidR="0034169D" w:rsidRDefault="0034169D" w:rsidP="00642339">
            <w:pPr>
              <w:pStyle w:val="a8"/>
              <w:spacing w:after="0" w:line="240" w:lineRule="auto"/>
              <w:ind w:left="34"/>
              <w:rPr>
                <w:rFonts w:cs="Calibri"/>
                <w:i/>
                <w:sz w:val="20"/>
                <w:szCs w:val="20"/>
                <w:lang w:val="en-US"/>
              </w:rPr>
            </w:pPr>
          </w:p>
          <w:p w:rsidR="0034169D" w:rsidRDefault="008B7B57" w:rsidP="00642339">
            <w:pPr>
              <w:pStyle w:val="a8"/>
              <w:numPr>
                <w:ilvl w:val="0"/>
                <w:numId w:val="8"/>
              </w:numPr>
              <w:spacing w:after="0" w:line="240" w:lineRule="auto"/>
              <w:ind w:left="318" w:hanging="284"/>
              <w:rPr>
                <w:rFonts w:cs="Calibri"/>
                <w:i/>
                <w:sz w:val="20"/>
                <w:szCs w:val="20"/>
                <w:lang w:val="en-US"/>
              </w:rPr>
            </w:pPr>
            <w:r>
              <w:rPr>
                <w:rFonts w:cs="Calibri"/>
                <w:i/>
                <w:sz w:val="20"/>
                <w:szCs w:val="20"/>
                <w:lang w:val="en-US"/>
              </w:rPr>
              <w:t>Lees</w:t>
            </w:r>
            <w:r w:rsidR="0034169D">
              <w:rPr>
                <w:rFonts w:cs="Calibri"/>
                <w:i/>
                <w:sz w:val="20"/>
                <w:szCs w:val="20"/>
                <w:lang w:val="en-US"/>
              </w:rPr>
              <w:t xml:space="preserve"> Art. 55</w:t>
            </w:r>
          </w:p>
          <w:p w:rsidR="0034169D" w:rsidRPr="00EE7B0B" w:rsidRDefault="0034169D" w:rsidP="00EE7B0B">
            <w:pPr>
              <w:spacing w:after="0" w:line="240" w:lineRule="auto"/>
              <w:rPr>
                <w:rFonts w:cs="Calibri"/>
                <w:i/>
                <w:sz w:val="20"/>
                <w:szCs w:val="20"/>
                <w:lang w:val="en-US"/>
              </w:rPr>
            </w:pPr>
          </w:p>
        </w:tc>
      </w:tr>
      <w:tr w:rsidR="0034169D" w:rsidRPr="001F0EB0" w:rsidTr="006B4B67">
        <w:tc>
          <w:tcPr>
            <w:tcW w:w="7337" w:type="dxa"/>
          </w:tcPr>
          <w:p w:rsidR="00772B5B" w:rsidRPr="00772B5B" w:rsidRDefault="00772B5B" w:rsidP="007D1DD3">
            <w:pPr>
              <w:pStyle w:val="a7"/>
              <w:rPr>
                <w:lang w:val="nl-BE"/>
              </w:rPr>
            </w:pPr>
            <w:r w:rsidRPr="00772B5B">
              <w:rPr>
                <w:lang w:val="nl-BE"/>
              </w:rPr>
              <w:t>In vergelijking me</w:t>
            </w:r>
            <w:r w:rsidR="008B7B57">
              <w:rPr>
                <w:lang w:val="nl-BE"/>
              </w:rPr>
              <w:t>t de rapportageprocedures, blij</w:t>
            </w:r>
            <w:r w:rsidRPr="00772B5B">
              <w:rPr>
                <w:lang w:val="nl-BE"/>
              </w:rPr>
              <w:t xml:space="preserve">ven klachtenprocedures eerder de uitzondering dan de regel in de internationale strijd tegen mensenrechteninbreuken. </w:t>
            </w:r>
            <w:r>
              <w:rPr>
                <w:lang w:val="nl-BE"/>
              </w:rPr>
              <w:t xml:space="preserve">Een van de redenen hiervoor is dat ze vaak optioneel zijn, en er dus een bijkomende erkenning hiervan door de betrokken lidstaten nodig is (bijvoorbeeld een bijkomende verklaring of zelfs ratificatie). Een belangrijke uitzondering hierop is de individuele klachtenprocedure die in het Europees Verdrag voor de Rechten van de Mens wordt voorzien, die verplicht is voor alle lidstaten zonder dat hier extra stappen voor moeten ondernomen worden. </w:t>
            </w:r>
          </w:p>
          <w:p w:rsidR="00772B5B" w:rsidRDefault="00772B5B" w:rsidP="007D1DD3">
            <w:pPr>
              <w:pStyle w:val="a7"/>
              <w:rPr>
                <w:lang w:val="nl-BE"/>
              </w:rPr>
            </w:pPr>
            <w:r>
              <w:rPr>
                <w:lang w:val="nl-BE"/>
              </w:rPr>
              <w:t xml:space="preserve">In geval van optionele klachtenprocedures is het duidelijk dat staten er altijd voor kunnen kiezen ze niet te erkennen en op die manier individuen en </w:t>
            </w:r>
            <w:r>
              <w:rPr>
                <w:lang w:val="nl-BE"/>
              </w:rPr>
              <w:lastRenderedPageBreak/>
              <w:t xml:space="preserve">groepen de mogelijkheid kunnen ontzeggen om klachten bij een controleorgaan in te dienen. </w:t>
            </w:r>
            <w:r w:rsidR="003A1818">
              <w:rPr>
                <w:lang w:val="nl-BE"/>
              </w:rPr>
              <w:t xml:space="preserve">Een andere zwakte van de klachtenprocedures is dat er heel wat tijd kan over gaan voor ze effectief tot een conclusie of vonnis leiden. Procedures die 3 tot 5 jaar duren, bovenop de langdurige nationale procedures, zijn in dit opzicht geen uitzondering. </w:t>
            </w:r>
          </w:p>
          <w:p w:rsidR="0034169D" w:rsidRPr="0066343A" w:rsidRDefault="0066343A" w:rsidP="007D1DD3">
            <w:pPr>
              <w:pStyle w:val="a7"/>
              <w:rPr>
                <w:lang w:val="nl-BE"/>
              </w:rPr>
            </w:pPr>
            <w:r w:rsidRPr="0066343A">
              <w:rPr>
                <w:lang w:val="nl-BE"/>
              </w:rPr>
              <w:t>Het moet echter wel onthouden worden dat deze procedures, en dan in het bijzonder de individuele klachtenprocedures, tot zeer specifieke beslissingen leiden die ingrijpende gevolgen kunnen hebben voor de</w:t>
            </w:r>
            <w:r>
              <w:rPr>
                <w:lang w:val="nl-BE"/>
              </w:rPr>
              <w:t xml:space="preserve"> mensenrechtensituatie in de</w:t>
            </w:r>
            <w:r w:rsidRPr="0066343A">
              <w:rPr>
                <w:lang w:val="nl-BE"/>
              </w:rPr>
              <w:t xml:space="preserve"> betrokken lidstaat. </w:t>
            </w:r>
            <w:r>
              <w:rPr>
                <w:lang w:val="nl-BE"/>
              </w:rPr>
              <w:t xml:space="preserve">Vooral de vonnissen van het Europees Hof voor de Rechten van de Mens en het Inter-Amerikaanse Hof voor Mensenrechten worden met veel belangstelling gevolgd en gelezen door eenieder die de mensenrechten verdedigd, wereldwijd. </w:t>
            </w:r>
            <w:r w:rsidR="0034169D" w:rsidRPr="0066343A">
              <w:rPr>
                <w:lang w:val="nl-BE"/>
              </w:rPr>
              <w:t>.</w:t>
            </w:r>
          </w:p>
        </w:tc>
        <w:tc>
          <w:tcPr>
            <w:tcW w:w="2552" w:type="dxa"/>
          </w:tcPr>
          <w:p w:rsidR="0034169D" w:rsidRPr="0066343A" w:rsidRDefault="0034169D" w:rsidP="006B4B67">
            <w:pPr>
              <w:pStyle w:val="a8"/>
              <w:spacing w:after="0" w:line="240" w:lineRule="auto"/>
              <w:ind w:left="313"/>
              <w:rPr>
                <w:rFonts w:cs="Calibri"/>
                <w:i/>
                <w:sz w:val="20"/>
                <w:szCs w:val="20"/>
                <w:lang w:val="nl-BE"/>
              </w:rPr>
            </w:pPr>
          </w:p>
        </w:tc>
      </w:tr>
      <w:tr w:rsidR="0034169D" w:rsidRPr="002A3956" w:rsidTr="006B4B67">
        <w:tc>
          <w:tcPr>
            <w:tcW w:w="7337" w:type="dxa"/>
          </w:tcPr>
          <w:p w:rsidR="0034169D" w:rsidRPr="00C702EA" w:rsidRDefault="0034169D" w:rsidP="008B7B57">
            <w:pPr>
              <w:pStyle w:val="2"/>
              <w:ind w:left="284"/>
              <w:rPr>
                <w:lang w:val="en-US"/>
              </w:rPr>
            </w:pPr>
            <w:bookmarkStart w:id="9" w:name="_Toc350286782"/>
            <w:r w:rsidRPr="008B7B57">
              <w:rPr>
                <w:rFonts w:ascii="Calibri" w:hAnsi="Calibri" w:cs="Arial"/>
                <w:bCs w:val="0"/>
                <w:iCs/>
                <w:color w:val="auto"/>
                <w:kern w:val="32"/>
                <w:sz w:val="24"/>
                <w:szCs w:val="20"/>
                <w:lang w:val="nl-BE"/>
              </w:rPr>
              <w:lastRenderedPageBreak/>
              <w:t xml:space="preserve">3.3 </w:t>
            </w:r>
            <w:r w:rsidR="0066343A" w:rsidRPr="008B7B57">
              <w:rPr>
                <w:rFonts w:ascii="Calibri" w:hAnsi="Calibri" w:cs="Arial"/>
                <w:bCs w:val="0"/>
                <w:iCs/>
                <w:color w:val="auto"/>
                <w:kern w:val="32"/>
                <w:sz w:val="24"/>
                <w:szCs w:val="20"/>
                <w:lang w:val="nl-BE"/>
              </w:rPr>
              <w:t>Onderzoeksprocedures</w:t>
            </w:r>
            <w:bookmarkEnd w:id="9"/>
          </w:p>
        </w:tc>
        <w:tc>
          <w:tcPr>
            <w:tcW w:w="2552" w:type="dxa"/>
          </w:tcPr>
          <w:p w:rsidR="0034169D" w:rsidRPr="004D67C9" w:rsidRDefault="0034169D" w:rsidP="006B4B67">
            <w:pPr>
              <w:pStyle w:val="a8"/>
              <w:spacing w:after="0" w:line="240" w:lineRule="auto"/>
              <w:ind w:left="313"/>
              <w:rPr>
                <w:rFonts w:cs="Calibri"/>
                <w:i/>
                <w:sz w:val="20"/>
                <w:szCs w:val="20"/>
                <w:lang w:val="en-US"/>
              </w:rPr>
            </w:pPr>
          </w:p>
        </w:tc>
      </w:tr>
      <w:tr w:rsidR="0034169D" w:rsidRPr="001F0EB0" w:rsidTr="006B4B67">
        <w:tc>
          <w:tcPr>
            <w:tcW w:w="7337" w:type="dxa"/>
          </w:tcPr>
          <w:p w:rsidR="0066343A" w:rsidRPr="006155FE" w:rsidRDefault="006155FE">
            <w:pPr>
              <w:spacing w:line="240" w:lineRule="auto"/>
              <w:rPr>
                <w:lang w:val="nl-BE"/>
              </w:rPr>
            </w:pPr>
            <w:r w:rsidRPr="00603523">
              <w:rPr>
                <w:lang w:val="nl-BE"/>
              </w:rPr>
              <w:t xml:space="preserve">Een derde vorm van internationale opvolging kan worden samengevat als “onderzoeksprocedures”. </w:t>
            </w:r>
            <w:r w:rsidRPr="006155FE">
              <w:rPr>
                <w:lang w:val="nl-BE"/>
              </w:rPr>
              <w:t>In de nauwe zin heeft deze term enkel betrekking op een aantal sp</w:t>
            </w:r>
            <w:r>
              <w:rPr>
                <w:lang w:val="nl-BE"/>
              </w:rPr>
              <w:t>ecifieke comités (op basis van v</w:t>
            </w:r>
            <w:r w:rsidRPr="006155FE">
              <w:rPr>
                <w:lang w:val="nl-BE"/>
              </w:rPr>
              <w:t xml:space="preserve">erdragen) die over de mogelijkheid beschikken om staten die partij zijn bij bepaalde verdragen te bezoeken als er aanwijzingen </w:t>
            </w:r>
            <w:r>
              <w:rPr>
                <w:lang w:val="nl-BE"/>
              </w:rPr>
              <w:t xml:space="preserve">dat er ernstige inbreuken op deze verdragen zouden plaatsvinden. Zo kunnen het Comité tegen Foltering en het </w:t>
            </w:r>
            <w:r w:rsidR="008B7B57" w:rsidRPr="008B7B57">
              <w:rPr>
                <w:lang w:val="nl-BE"/>
              </w:rPr>
              <w:t xml:space="preserve">Comité voor de uitbanning van </w:t>
            </w:r>
            <w:r w:rsidR="008B7B57">
              <w:rPr>
                <w:lang w:val="nl-BE"/>
              </w:rPr>
              <w:t>discriminatie</w:t>
            </w:r>
            <w:r w:rsidR="008B7B57" w:rsidRPr="008B7B57">
              <w:rPr>
                <w:lang w:val="nl-BE"/>
              </w:rPr>
              <w:t xml:space="preserve"> tegen vrouwen</w:t>
            </w:r>
            <w:r w:rsidR="008B7B57">
              <w:rPr>
                <w:lang w:val="nl-BE"/>
              </w:rPr>
              <w:t>, beide VN-instellingen,</w:t>
            </w:r>
            <w:r w:rsidR="008B7B57" w:rsidRPr="008B7B57">
              <w:rPr>
                <w:lang w:val="nl-BE"/>
              </w:rPr>
              <w:t xml:space="preserve"> </w:t>
            </w:r>
            <w:r>
              <w:rPr>
                <w:lang w:val="nl-BE"/>
              </w:rPr>
              <w:t>op eigen initiatief een onderzoek starten als ze informatie hebben ontvangen over systematische of ernstige inbreuken. Hetzelfde geldt voor het Europees Comit</w:t>
            </w:r>
            <w:r w:rsidR="008B7B57">
              <w:rPr>
                <w:lang w:val="nl-BE"/>
              </w:rPr>
              <w:t xml:space="preserve">é ter Preventie van Foltering, </w:t>
            </w:r>
            <w:r>
              <w:rPr>
                <w:lang w:val="nl-BE"/>
              </w:rPr>
              <w:t>dat binnen de schoot van de Raad van Europa werd opgericht</w:t>
            </w:r>
            <w:r w:rsidRPr="006155FE">
              <w:rPr>
                <w:lang w:val="nl-BE"/>
              </w:rPr>
              <w:t>.</w:t>
            </w:r>
          </w:p>
          <w:p w:rsidR="0034169D" w:rsidRPr="004B348A" w:rsidRDefault="006155FE">
            <w:pPr>
              <w:spacing w:line="240" w:lineRule="auto"/>
              <w:rPr>
                <w:lang w:val="nl-BE"/>
              </w:rPr>
            </w:pPr>
            <w:r w:rsidRPr="006155FE">
              <w:rPr>
                <w:lang w:val="nl-BE"/>
              </w:rPr>
              <w:t xml:space="preserve">Belangrijker zijn echter de zogenaamde Speciale Procedures, die in principe ook een soort onderzoeksprocedures zijn. </w:t>
            </w:r>
            <w:r>
              <w:rPr>
                <w:lang w:val="nl-BE"/>
              </w:rPr>
              <w:t xml:space="preserve">Sommige van deze procedures focussen op verschillende mensenrechteninbreuken in een specifiek land (land-specifieke procedures), terwijl andere focussen op een specifiek type mensenrechteninbreuk wereldwijd (thematische procedures). Sommige van deze procedures verlopen publiek, terwijl andere een vertrouwelijk karakter hebben. Er zijn ook verschillen in structuur: zo zijn er werkgroepen, speciale rapporteurs, speciale vertegenwoordigers, en onafhankelijke experts. Hoewel er grote verschillen bestaan tussen deze procedures, hebben ze één ding gemeen: ze beogen snelle reacties (bv. per telefoon, fax, email, of onaangekondigde bezoeken) op nijpende </w:t>
            </w:r>
            <w:r w:rsidR="004B348A">
              <w:rPr>
                <w:lang w:val="nl-BE"/>
              </w:rPr>
              <w:t xml:space="preserve">problemen die mogelijks inbreuken op de mensenrechten met zich meebrengen, en nemen soms proactieve actie om te voorkomen dat dergelijke inbreuken zouden voorvallen. </w:t>
            </w:r>
            <w:r w:rsidR="004B348A" w:rsidRPr="004B348A">
              <w:rPr>
                <w:lang w:val="nl-BE"/>
              </w:rPr>
              <w:t>Specifiek met betrekking tot foltering en mishandeling kan het belang van de VN Speciale Rapporteur inzake</w:t>
            </w:r>
            <w:r w:rsidR="004B348A">
              <w:rPr>
                <w:lang w:val="nl-BE"/>
              </w:rPr>
              <w:t xml:space="preserve"> Foltering niet overschat worden. </w:t>
            </w:r>
          </w:p>
        </w:tc>
        <w:tc>
          <w:tcPr>
            <w:tcW w:w="2552" w:type="dxa"/>
          </w:tcPr>
          <w:p w:rsidR="0034169D" w:rsidRPr="004B348A" w:rsidRDefault="0034169D" w:rsidP="006B4B67">
            <w:pPr>
              <w:spacing w:after="0" w:line="240" w:lineRule="auto"/>
              <w:rPr>
                <w:rFonts w:cs="Calibri"/>
                <w:i/>
                <w:sz w:val="20"/>
                <w:szCs w:val="20"/>
                <w:lang w:val="nl-BE"/>
              </w:rPr>
            </w:pPr>
          </w:p>
          <w:p w:rsidR="0034169D" w:rsidRPr="004B348A" w:rsidRDefault="0034169D" w:rsidP="006B4B67">
            <w:pPr>
              <w:pStyle w:val="a8"/>
              <w:spacing w:after="0" w:line="240" w:lineRule="auto"/>
              <w:ind w:left="403"/>
              <w:rPr>
                <w:rFonts w:cs="Calibri"/>
                <w:i/>
                <w:sz w:val="20"/>
                <w:szCs w:val="20"/>
                <w:lang w:val="nl-BE"/>
              </w:rPr>
            </w:pPr>
          </w:p>
          <w:p w:rsidR="0034169D" w:rsidRPr="004B348A" w:rsidRDefault="0034169D" w:rsidP="006B4B67">
            <w:pPr>
              <w:pStyle w:val="a8"/>
              <w:spacing w:after="0" w:line="240" w:lineRule="auto"/>
              <w:ind w:left="403"/>
              <w:rPr>
                <w:rFonts w:cs="Calibri"/>
                <w:i/>
                <w:sz w:val="20"/>
                <w:szCs w:val="20"/>
                <w:lang w:val="nl-BE"/>
              </w:rPr>
            </w:pPr>
          </w:p>
          <w:p w:rsidR="0034169D" w:rsidRPr="004B348A" w:rsidRDefault="0034169D" w:rsidP="006B4B67">
            <w:pPr>
              <w:pStyle w:val="a8"/>
              <w:spacing w:after="0" w:line="240" w:lineRule="auto"/>
              <w:ind w:left="403"/>
              <w:rPr>
                <w:rFonts w:cs="Calibri"/>
                <w:i/>
                <w:sz w:val="20"/>
                <w:szCs w:val="20"/>
                <w:lang w:val="nl-BE"/>
              </w:rPr>
            </w:pPr>
          </w:p>
          <w:p w:rsidR="0034169D" w:rsidRPr="004B348A" w:rsidRDefault="0034169D" w:rsidP="006B4B67">
            <w:pPr>
              <w:pStyle w:val="a8"/>
              <w:spacing w:after="0" w:line="240" w:lineRule="auto"/>
              <w:ind w:left="403"/>
              <w:rPr>
                <w:rFonts w:cs="Calibri"/>
                <w:i/>
                <w:sz w:val="20"/>
                <w:szCs w:val="20"/>
                <w:lang w:val="nl-BE"/>
              </w:rPr>
            </w:pPr>
          </w:p>
          <w:p w:rsidR="0034169D" w:rsidRPr="004B348A" w:rsidRDefault="0034169D" w:rsidP="006B4B67">
            <w:pPr>
              <w:pStyle w:val="a8"/>
              <w:spacing w:after="0" w:line="240" w:lineRule="auto"/>
              <w:ind w:left="403"/>
              <w:rPr>
                <w:rFonts w:cs="Calibri"/>
                <w:i/>
                <w:sz w:val="20"/>
                <w:szCs w:val="20"/>
                <w:lang w:val="nl-BE"/>
              </w:rPr>
            </w:pPr>
          </w:p>
          <w:p w:rsidR="0034169D" w:rsidRPr="004B348A" w:rsidRDefault="0034169D" w:rsidP="006B4B67">
            <w:pPr>
              <w:pStyle w:val="a8"/>
              <w:spacing w:after="0" w:line="240" w:lineRule="auto"/>
              <w:ind w:left="403"/>
              <w:rPr>
                <w:rFonts w:cs="Calibri"/>
                <w:i/>
                <w:sz w:val="20"/>
                <w:szCs w:val="20"/>
                <w:lang w:val="nl-BE"/>
              </w:rPr>
            </w:pPr>
          </w:p>
          <w:p w:rsidR="0034169D" w:rsidRPr="004B348A" w:rsidRDefault="0034169D" w:rsidP="006B4B67">
            <w:pPr>
              <w:pStyle w:val="a8"/>
              <w:spacing w:after="0" w:line="240" w:lineRule="auto"/>
              <w:ind w:left="403"/>
              <w:rPr>
                <w:rFonts w:cs="Calibri"/>
                <w:i/>
                <w:sz w:val="20"/>
                <w:szCs w:val="20"/>
                <w:lang w:val="nl-BE"/>
              </w:rPr>
            </w:pPr>
          </w:p>
        </w:tc>
      </w:tr>
      <w:tr w:rsidR="0034169D" w:rsidRPr="001F0EB0" w:rsidTr="006B4B67">
        <w:tc>
          <w:tcPr>
            <w:tcW w:w="7337" w:type="dxa"/>
          </w:tcPr>
          <w:p w:rsidR="004B348A" w:rsidRDefault="00D81DAA">
            <w:pPr>
              <w:pStyle w:val="a7"/>
              <w:rPr>
                <w:lang w:val="nl-BE"/>
              </w:rPr>
            </w:pPr>
            <w:r w:rsidRPr="00D81DAA">
              <w:rPr>
                <w:lang w:val="nl-BE"/>
              </w:rPr>
              <w:t xml:space="preserve">De grote kracht van deze procedures schuilt in de flexibiliteit van hun mandaat </w:t>
            </w:r>
            <w:r>
              <w:rPr>
                <w:lang w:val="nl-BE"/>
              </w:rPr>
              <w:t xml:space="preserve">en hun manier van werken, wat hen toelaat om hun methoden aan te passen aan de concrete en vaak dringende problemen waarmee ze geconfronteerd worden. Er is bovendien geen voorafgaande ratificatie of toestemming door de betrokken staten nodig, aangezien de Speciale Procedures bevoegd zijn hun </w:t>
            </w:r>
            <w:r>
              <w:rPr>
                <w:lang w:val="nl-BE"/>
              </w:rPr>
              <w:lastRenderedPageBreak/>
              <w:t xml:space="preserve">taken uit te voeren in alle lidstaten van de VN of gelijkaardige regionale instellingen zoals de Organisatie van Amerikaanse Staten of de Afrikaanse Unie. </w:t>
            </w:r>
          </w:p>
          <w:p w:rsidR="0034169D" w:rsidRPr="00D81DAA" w:rsidRDefault="00D81DAA">
            <w:pPr>
              <w:pStyle w:val="a7"/>
              <w:rPr>
                <w:lang w:val="nl-BE"/>
              </w:rPr>
            </w:pPr>
            <w:r>
              <w:rPr>
                <w:lang w:val="nl-BE"/>
              </w:rPr>
              <w:t xml:space="preserve">Er zijn aan deze procedures echter ook enkele zwakheden verbonden. Sommige kunnen pas aangevat worden als er een uitnodiging van een lidstaat is geweest om een onderzoek te voeren. Verder zijn ze vaak erg beperkt wat betreft werkingsmiddelen, en ze staan soms ook onder een enorme politieke druk van zowel de lidstaten als de overkoepelende instelling waarvan ze deel uitmaken. </w:t>
            </w:r>
          </w:p>
        </w:tc>
        <w:tc>
          <w:tcPr>
            <w:tcW w:w="2552" w:type="dxa"/>
          </w:tcPr>
          <w:p w:rsidR="0034169D" w:rsidRPr="00D81DAA" w:rsidRDefault="0034169D">
            <w:pPr>
              <w:pStyle w:val="a8"/>
              <w:spacing w:after="0" w:line="240" w:lineRule="auto"/>
              <w:ind w:left="318"/>
              <w:rPr>
                <w:rFonts w:cs="Calibri"/>
                <w:i/>
                <w:sz w:val="20"/>
                <w:szCs w:val="20"/>
                <w:lang w:val="nl-BE"/>
              </w:rPr>
            </w:pPr>
          </w:p>
        </w:tc>
      </w:tr>
      <w:tr w:rsidR="0034169D" w:rsidRPr="002A3956" w:rsidTr="006B4B67">
        <w:tc>
          <w:tcPr>
            <w:tcW w:w="7337" w:type="dxa"/>
          </w:tcPr>
          <w:p w:rsidR="0034169D" w:rsidRPr="00C702EA" w:rsidRDefault="0034169D" w:rsidP="008B7B57">
            <w:pPr>
              <w:pStyle w:val="2"/>
              <w:ind w:left="284"/>
              <w:rPr>
                <w:lang w:val="en-US"/>
              </w:rPr>
            </w:pPr>
            <w:bookmarkStart w:id="10" w:name="_Toc350286783"/>
            <w:r w:rsidRPr="008B7B57">
              <w:rPr>
                <w:rFonts w:ascii="Calibri" w:hAnsi="Calibri" w:cs="Arial"/>
                <w:bCs w:val="0"/>
                <w:iCs/>
                <w:color w:val="auto"/>
                <w:kern w:val="32"/>
                <w:sz w:val="24"/>
                <w:szCs w:val="20"/>
                <w:lang w:val="nl-BE"/>
              </w:rPr>
              <w:lastRenderedPageBreak/>
              <w:t xml:space="preserve">3.4 </w:t>
            </w:r>
            <w:r w:rsidR="00D81DAA" w:rsidRPr="008B7B57">
              <w:rPr>
                <w:rFonts w:ascii="Calibri" w:hAnsi="Calibri" w:cs="Arial"/>
                <w:bCs w:val="0"/>
                <w:iCs/>
                <w:color w:val="auto"/>
                <w:kern w:val="32"/>
                <w:sz w:val="24"/>
                <w:szCs w:val="20"/>
                <w:lang w:val="nl-BE"/>
              </w:rPr>
              <w:t>Andere internationale procedures</w:t>
            </w:r>
            <w:bookmarkEnd w:id="10"/>
          </w:p>
        </w:tc>
        <w:tc>
          <w:tcPr>
            <w:tcW w:w="2552" w:type="dxa"/>
          </w:tcPr>
          <w:p w:rsidR="0034169D" w:rsidRPr="004D67C9" w:rsidRDefault="0034169D" w:rsidP="006B4B67">
            <w:pPr>
              <w:pStyle w:val="a8"/>
              <w:spacing w:after="0" w:line="240" w:lineRule="auto"/>
              <w:ind w:left="313"/>
              <w:rPr>
                <w:rFonts w:cs="Calibri"/>
                <w:i/>
                <w:sz w:val="20"/>
                <w:szCs w:val="20"/>
                <w:lang w:val="en-US"/>
              </w:rPr>
            </w:pPr>
          </w:p>
          <w:p w:rsidR="0034169D" w:rsidRPr="00546BEA" w:rsidRDefault="0034169D" w:rsidP="00546BEA">
            <w:pPr>
              <w:spacing w:after="0" w:line="240" w:lineRule="auto"/>
              <w:rPr>
                <w:rFonts w:cs="Calibri"/>
                <w:i/>
                <w:sz w:val="20"/>
                <w:szCs w:val="20"/>
                <w:lang w:val="en-US"/>
              </w:rPr>
            </w:pPr>
          </w:p>
        </w:tc>
      </w:tr>
      <w:tr w:rsidR="0034169D" w:rsidRPr="001F0EB0" w:rsidTr="006B4B67">
        <w:tc>
          <w:tcPr>
            <w:tcW w:w="7337" w:type="dxa"/>
          </w:tcPr>
          <w:p w:rsidR="0034169D" w:rsidRPr="00C60A15" w:rsidRDefault="00D81DAA" w:rsidP="008B7B57">
            <w:pPr>
              <w:pStyle w:val="a7"/>
              <w:rPr>
                <w:lang w:val="nl-BE"/>
              </w:rPr>
            </w:pPr>
            <w:r w:rsidRPr="00D81DAA">
              <w:rPr>
                <w:lang w:val="nl-BE"/>
              </w:rPr>
              <w:t xml:space="preserve">De hoger vermelde procedures kwamen tot stand in de laatste decennia om te controleren of staten hun verplichtingen met betrekking tot mensenrechten wel degelijk nakomen. </w:t>
            </w:r>
            <w:r>
              <w:rPr>
                <w:lang w:val="nl-BE"/>
              </w:rPr>
              <w:t>Meer recent, in de laatste twintig jaar, zijn er</w:t>
            </w:r>
            <w:r w:rsidR="009A715B">
              <w:rPr>
                <w:lang w:val="nl-BE"/>
              </w:rPr>
              <w:t xml:space="preserve"> echter ook</w:t>
            </w:r>
            <w:r>
              <w:rPr>
                <w:lang w:val="nl-BE"/>
              </w:rPr>
              <w:t xml:space="preserve"> een aantal interessante ontwikkelingen geweest om de verantwoordelijkheid van individuen </w:t>
            </w:r>
            <w:r w:rsidR="009A715B">
              <w:rPr>
                <w:lang w:val="nl-BE"/>
              </w:rPr>
              <w:t xml:space="preserve">met betrekking tot mensenrechten te benadrukken. Het beste voorbeeld hiervan in de internationale strijd tegen inbreuken tegen de mensenrechten is de oprichting van twee internationale ad-hoc tribunalen, namelijk het </w:t>
            </w:r>
            <w:r w:rsidR="008B7B57">
              <w:rPr>
                <w:lang w:val="nl-BE"/>
              </w:rPr>
              <w:t>Joegoslavië Tribunaal en het Rwanda Tribunaal</w:t>
            </w:r>
            <w:r w:rsidR="009A715B">
              <w:rPr>
                <w:lang w:val="nl-BE"/>
              </w:rPr>
              <w:t xml:space="preserve">. Beiden kunnen gezien worden als de voorgangers van het permanente Internationale Strafhof. </w:t>
            </w:r>
          </w:p>
        </w:tc>
        <w:tc>
          <w:tcPr>
            <w:tcW w:w="2552" w:type="dxa"/>
          </w:tcPr>
          <w:p w:rsidR="0034169D" w:rsidRPr="00C60A15" w:rsidRDefault="0034169D" w:rsidP="006B4B67">
            <w:pPr>
              <w:pStyle w:val="a8"/>
              <w:spacing w:after="0" w:line="240" w:lineRule="auto"/>
              <w:ind w:left="313"/>
              <w:rPr>
                <w:rFonts w:cs="Calibri"/>
                <w:i/>
                <w:sz w:val="20"/>
                <w:szCs w:val="20"/>
                <w:lang w:val="nl-BE"/>
              </w:rPr>
            </w:pPr>
          </w:p>
          <w:p w:rsidR="0034169D" w:rsidRPr="00C60A15" w:rsidRDefault="0034169D" w:rsidP="006B4B67">
            <w:pPr>
              <w:spacing w:after="0" w:line="240" w:lineRule="auto"/>
              <w:ind w:left="313" w:hanging="270"/>
              <w:rPr>
                <w:rFonts w:cs="Calibri"/>
                <w:i/>
                <w:sz w:val="20"/>
                <w:szCs w:val="20"/>
                <w:lang w:val="nl-BE"/>
              </w:rPr>
            </w:pPr>
          </w:p>
          <w:p w:rsidR="0034169D" w:rsidRPr="00C60A15" w:rsidRDefault="0034169D" w:rsidP="006B4B67">
            <w:pPr>
              <w:spacing w:after="0" w:line="240" w:lineRule="auto"/>
              <w:ind w:left="313" w:hanging="270"/>
              <w:rPr>
                <w:rFonts w:cs="Calibri"/>
                <w:i/>
                <w:sz w:val="20"/>
                <w:szCs w:val="20"/>
                <w:lang w:val="nl-BE"/>
              </w:rPr>
            </w:pPr>
          </w:p>
          <w:p w:rsidR="0034169D" w:rsidRPr="00C60A15" w:rsidRDefault="0034169D" w:rsidP="006B4B67">
            <w:pPr>
              <w:spacing w:after="0" w:line="240" w:lineRule="auto"/>
              <w:ind w:left="313" w:hanging="270"/>
              <w:rPr>
                <w:rFonts w:cs="Calibri"/>
                <w:i/>
                <w:sz w:val="20"/>
                <w:szCs w:val="20"/>
                <w:lang w:val="nl-BE"/>
              </w:rPr>
            </w:pPr>
          </w:p>
          <w:p w:rsidR="0034169D" w:rsidRPr="00C60A15" w:rsidRDefault="0034169D" w:rsidP="006B4B67">
            <w:pPr>
              <w:spacing w:after="0" w:line="240" w:lineRule="auto"/>
              <w:ind w:left="313" w:hanging="270"/>
              <w:rPr>
                <w:rFonts w:cs="Calibri"/>
                <w:i/>
                <w:sz w:val="20"/>
                <w:szCs w:val="20"/>
                <w:lang w:val="nl-BE"/>
              </w:rPr>
            </w:pPr>
          </w:p>
          <w:p w:rsidR="0034169D" w:rsidRPr="00C60A15" w:rsidRDefault="0034169D" w:rsidP="006B4B67">
            <w:pPr>
              <w:spacing w:after="0" w:line="240" w:lineRule="auto"/>
              <w:ind w:left="313" w:hanging="270"/>
              <w:rPr>
                <w:rFonts w:cs="Calibri"/>
                <w:i/>
                <w:sz w:val="20"/>
                <w:szCs w:val="20"/>
                <w:lang w:val="nl-BE"/>
              </w:rPr>
            </w:pPr>
          </w:p>
          <w:p w:rsidR="0034169D" w:rsidRPr="00C60A15" w:rsidRDefault="0034169D" w:rsidP="00F1047C">
            <w:pPr>
              <w:pStyle w:val="a8"/>
              <w:spacing w:after="0" w:line="240" w:lineRule="auto"/>
              <w:ind w:left="313"/>
              <w:rPr>
                <w:rFonts w:cs="Calibri"/>
                <w:i/>
                <w:sz w:val="20"/>
                <w:szCs w:val="20"/>
                <w:lang w:val="nl-BE"/>
              </w:rPr>
            </w:pPr>
          </w:p>
        </w:tc>
      </w:tr>
      <w:tr w:rsidR="0034169D" w:rsidRPr="001F0EB0" w:rsidTr="006B4B67">
        <w:tc>
          <w:tcPr>
            <w:tcW w:w="7337" w:type="dxa"/>
          </w:tcPr>
          <w:p w:rsidR="0034169D" w:rsidRPr="00C60A15" w:rsidRDefault="00C60A15" w:rsidP="008B7B57">
            <w:pPr>
              <w:pStyle w:val="a7"/>
              <w:rPr>
                <w:lang w:val="nl-BE"/>
              </w:rPr>
            </w:pPr>
            <w:r>
              <w:rPr>
                <w:lang w:val="nl-BE"/>
              </w:rPr>
              <w:t xml:space="preserve">Het </w:t>
            </w:r>
            <w:r w:rsidR="008B7B57">
              <w:rPr>
                <w:lang w:val="nl-BE"/>
              </w:rPr>
              <w:t>Joegoslavië Tribunaal en het Rwanda</w:t>
            </w:r>
            <w:r>
              <w:rPr>
                <w:lang w:val="nl-BE"/>
              </w:rPr>
              <w:t xml:space="preserve"> Tribunaal hebben hun wettelijke oorsprong in twee resoluties van de VN Veiligheidsraad, die dater</w:t>
            </w:r>
            <w:r w:rsidR="008B7B57">
              <w:rPr>
                <w:lang w:val="nl-BE"/>
              </w:rPr>
              <w:t>e</w:t>
            </w:r>
            <w:r>
              <w:rPr>
                <w:lang w:val="nl-BE"/>
              </w:rPr>
              <w:t>n van de vroege jaren 1990. Het Internationaal Strafhof kwam tot stand op basis van het Statuut van Rome in 1998. De bedoeling van deze procedures is om individuele daders te vervolgen voor ernstige inbreuken tegen de mensenrechten zoals oorlogsmisdaden, misdaden tegen de menselijkheid of genocide</w:t>
            </w:r>
            <w:r w:rsidR="0034169D" w:rsidRPr="00C60A15">
              <w:rPr>
                <w:lang w:val="nl-BE"/>
              </w:rPr>
              <w:t>.</w:t>
            </w:r>
          </w:p>
        </w:tc>
        <w:tc>
          <w:tcPr>
            <w:tcW w:w="2552" w:type="dxa"/>
          </w:tcPr>
          <w:p w:rsidR="0034169D" w:rsidRPr="008B7B57" w:rsidRDefault="008B7B57" w:rsidP="008B7B57">
            <w:pPr>
              <w:pStyle w:val="a8"/>
              <w:numPr>
                <w:ilvl w:val="0"/>
                <w:numId w:val="9"/>
              </w:numPr>
              <w:spacing w:after="0" w:line="240" w:lineRule="auto"/>
              <w:ind w:left="318" w:hanging="284"/>
              <w:rPr>
                <w:rFonts w:cs="Calibri"/>
                <w:i/>
                <w:sz w:val="20"/>
                <w:szCs w:val="20"/>
                <w:lang w:val="nl-BE"/>
              </w:rPr>
            </w:pPr>
            <w:r w:rsidRPr="008B7B57">
              <w:rPr>
                <w:rFonts w:cs="Calibri"/>
                <w:i/>
                <w:sz w:val="20"/>
                <w:szCs w:val="20"/>
                <w:lang w:val="nl-BE"/>
              </w:rPr>
              <w:t xml:space="preserve">Voor meer </w:t>
            </w:r>
            <w:r>
              <w:rPr>
                <w:rFonts w:cs="Calibri"/>
                <w:i/>
                <w:sz w:val="20"/>
                <w:szCs w:val="20"/>
                <w:lang w:val="nl-BE"/>
              </w:rPr>
              <w:t>informati</w:t>
            </w:r>
            <w:r w:rsidRPr="008B7B57">
              <w:rPr>
                <w:rFonts w:cs="Calibri"/>
                <w:i/>
                <w:sz w:val="20"/>
                <w:szCs w:val="20"/>
                <w:lang w:val="nl-BE"/>
              </w:rPr>
              <w:t>e over het Joegoslavi</w:t>
            </w:r>
            <w:r>
              <w:rPr>
                <w:rFonts w:cs="Calibri"/>
                <w:i/>
                <w:sz w:val="20"/>
                <w:szCs w:val="20"/>
                <w:lang w:val="nl-BE"/>
              </w:rPr>
              <w:t>ë Tribunaal, zie:</w:t>
            </w:r>
            <w:r w:rsidR="0034169D" w:rsidRPr="008B7B57">
              <w:rPr>
                <w:rFonts w:cs="Calibri"/>
                <w:i/>
                <w:sz w:val="20"/>
                <w:szCs w:val="20"/>
                <w:lang w:val="nl-BE"/>
              </w:rPr>
              <w:t xml:space="preserve"> </w:t>
            </w:r>
            <w:hyperlink r:id="rId29" w:history="1">
              <w:r w:rsidR="0034169D" w:rsidRPr="008B7B57">
                <w:rPr>
                  <w:rStyle w:val="-"/>
                  <w:rFonts w:cs="Calibri"/>
                  <w:i/>
                  <w:sz w:val="20"/>
                  <w:szCs w:val="20"/>
                  <w:lang w:val="nl-BE"/>
                </w:rPr>
                <w:t>www.icty.org</w:t>
              </w:r>
            </w:hyperlink>
            <w:r w:rsidR="0034169D" w:rsidRPr="008B7B57">
              <w:rPr>
                <w:rFonts w:cs="Calibri"/>
                <w:i/>
                <w:sz w:val="20"/>
                <w:szCs w:val="20"/>
                <w:lang w:val="nl-BE"/>
              </w:rPr>
              <w:t xml:space="preserve"> </w:t>
            </w:r>
          </w:p>
          <w:p w:rsidR="0034169D" w:rsidRPr="008B7B57" w:rsidRDefault="008B7B57" w:rsidP="008B7B57">
            <w:pPr>
              <w:pStyle w:val="a8"/>
              <w:numPr>
                <w:ilvl w:val="0"/>
                <w:numId w:val="9"/>
              </w:numPr>
              <w:spacing w:after="0" w:line="240" w:lineRule="auto"/>
              <w:ind w:left="318" w:hanging="284"/>
              <w:rPr>
                <w:rFonts w:cs="Calibri"/>
                <w:i/>
                <w:sz w:val="20"/>
                <w:szCs w:val="20"/>
                <w:lang w:val="nl-BE"/>
              </w:rPr>
            </w:pPr>
            <w:r w:rsidRPr="008B7B57">
              <w:rPr>
                <w:rFonts w:cs="Calibri"/>
                <w:i/>
                <w:sz w:val="20"/>
                <w:szCs w:val="20"/>
                <w:lang w:val="nl-BE"/>
              </w:rPr>
              <w:t xml:space="preserve">Voor meer </w:t>
            </w:r>
            <w:r>
              <w:rPr>
                <w:rFonts w:cs="Calibri"/>
                <w:i/>
                <w:sz w:val="20"/>
                <w:szCs w:val="20"/>
                <w:lang w:val="nl-BE"/>
              </w:rPr>
              <w:t>informati</w:t>
            </w:r>
            <w:r w:rsidRPr="008B7B57">
              <w:rPr>
                <w:rFonts w:cs="Calibri"/>
                <w:i/>
                <w:sz w:val="20"/>
                <w:szCs w:val="20"/>
                <w:lang w:val="nl-BE"/>
              </w:rPr>
              <w:t>e over het Rwanda Tribunaal, zie</w:t>
            </w:r>
            <w:r w:rsidR="0034169D" w:rsidRPr="008B7B57">
              <w:rPr>
                <w:rFonts w:cs="Calibri"/>
                <w:i/>
                <w:sz w:val="20"/>
                <w:szCs w:val="20"/>
                <w:lang w:val="nl-BE"/>
              </w:rPr>
              <w:t xml:space="preserve"> </w:t>
            </w:r>
            <w:hyperlink r:id="rId30" w:history="1">
              <w:r w:rsidR="0034169D" w:rsidRPr="008B7B57">
                <w:rPr>
                  <w:rStyle w:val="-"/>
                  <w:rFonts w:cs="Calibri"/>
                  <w:i/>
                  <w:sz w:val="20"/>
                  <w:szCs w:val="20"/>
                  <w:lang w:val="nl-BE"/>
                </w:rPr>
                <w:t>www.unictr.org</w:t>
              </w:r>
            </w:hyperlink>
            <w:r w:rsidRPr="008B7B57">
              <w:rPr>
                <w:rFonts w:cs="Calibri"/>
                <w:i/>
                <w:sz w:val="20"/>
                <w:szCs w:val="20"/>
                <w:lang w:val="nl-BE"/>
              </w:rPr>
              <w:t xml:space="preserve"> </w:t>
            </w:r>
            <w:r w:rsidR="0034169D" w:rsidRPr="008B7B57">
              <w:rPr>
                <w:rFonts w:cs="Calibri"/>
                <w:i/>
                <w:sz w:val="20"/>
                <w:szCs w:val="20"/>
                <w:lang w:val="nl-BE"/>
              </w:rPr>
              <w:t>.</w:t>
            </w:r>
          </w:p>
        </w:tc>
      </w:tr>
      <w:tr w:rsidR="0034169D" w:rsidRPr="001F0EB0" w:rsidTr="006B4B67">
        <w:tc>
          <w:tcPr>
            <w:tcW w:w="7337" w:type="dxa"/>
          </w:tcPr>
          <w:p w:rsidR="00C60A15" w:rsidRPr="00C60A15" w:rsidRDefault="00C60A15">
            <w:pPr>
              <w:pStyle w:val="a7"/>
              <w:rPr>
                <w:lang w:val="nl-BE"/>
              </w:rPr>
            </w:pPr>
            <w:r w:rsidRPr="00C60A15">
              <w:rPr>
                <w:lang w:val="nl-BE"/>
              </w:rPr>
              <w:t xml:space="preserve">Hun kracht ligt natuurlijk in hun juridische competentie om een individu verantwoordelijk te houden voor grove schendingen van de mensenrechten, om zo ook de straffeloosheid in deze context tegen te gaan. </w:t>
            </w:r>
          </w:p>
          <w:p w:rsidR="0034169D" w:rsidRPr="00C60A15" w:rsidRDefault="00C60A15">
            <w:pPr>
              <w:pStyle w:val="a7"/>
              <w:rPr>
                <w:lang w:val="nl-BE"/>
              </w:rPr>
            </w:pPr>
            <w:r w:rsidRPr="00C60A15">
              <w:rPr>
                <w:lang w:val="nl-BE"/>
              </w:rPr>
              <w:t xml:space="preserve">Hun grote zwakte is echter dat ze slechts een beperkt aantal zaken kunnen aannemen, en de procedures zeer lang kunnen duren. </w:t>
            </w:r>
            <w:r w:rsidR="0034169D" w:rsidRPr="002F727E">
              <w:rPr>
                <w:lang w:val="nl-BE"/>
              </w:rPr>
              <w:t>.</w:t>
            </w:r>
          </w:p>
        </w:tc>
        <w:tc>
          <w:tcPr>
            <w:tcW w:w="2552" w:type="dxa"/>
          </w:tcPr>
          <w:p w:rsidR="0034169D" w:rsidRPr="008B7B57" w:rsidRDefault="008B7B57">
            <w:pPr>
              <w:pStyle w:val="a8"/>
              <w:numPr>
                <w:ilvl w:val="0"/>
                <w:numId w:val="10"/>
              </w:numPr>
              <w:spacing w:after="0" w:line="240" w:lineRule="auto"/>
              <w:ind w:left="318" w:hanging="284"/>
              <w:rPr>
                <w:rFonts w:cs="Calibri"/>
                <w:i/>
                <w:sz w:val="20"/>
                <w:szCs w:val="20"/>
                <w:lang w:val="nl-BE"/>
              </w:rPr>
            </w:pPr>
            <w:r w:rsidRPr="008B7B57">
              <w:rPr>
                <w:rFonts w:cs="Calibri"/>
                <w:i/>
                <w:sz w:val="20"/>
                <w:szCs w:val="20"/>
                <w:lang w:val="nl-BE"/>
              </w:rPr>
              <w:t xml:space="preserve">Meer </w:t>
            </w:r>
            <w:r>
              <w:rPr>
                <w:rFonts w:cs="Calibri"/>
                <w:i/>
                <w:sz w:val="20"/>
                <w:szCs w:val="20"/>
                <w:lang w:val="nl-BE"/>
              </w:rPr>
              <w:t>informati</w:t>
            </w:r>
            <w:r w:rsidRPr="008B7B57">
              <w:rPr>
                <w:rFonts w:cs="Calibri"/>
                <w:i/>
                <w:sz w:val="20"/>
                <w:szCs w:val="20"/>
                <w:lang w:val="nl-BE"/>
              </w:rPr>
              <w:t>e over het Internationaal Strafhof in hoofdstuk</w:t>
            </w:r>
            <w:r w:rsidR="0034169D" w:rsidRPr="008B7B57">
              <w:rPr>
                <w:rFonts w:cs="Calibri"/>
                <w:i/>
                <w:sz w:val="20"/>
                <w:szCs w:val="20"/>
                <w:lang w:val="nl-BE"/>
              </w:rPr>
              <w:t xml:space="preserve"> 6</w:t>
            </w:r>
          </w:p>
        </w:tc>
      </w:tr>
    </w:tbl>
    <w:p w:rsidR="0034169D" w:rsidRPr="008B7B57" w:rsidRDefault="0034169D">
      <w:pPr>
        <w:rPr>
          <w:lang w:val="nl-BE"/>
        </w:rPr>
      </w:pPr>
    </w:p>
    <w:sectPr w:rsidR="0034169D" w:rsidRPr="008B7B57" w:rsidSect="00685476">
      <w:footerReference w:type="default" r:id="rId31"/>
      <w:pgSz w:w="11906" w:h="16838"/>
      <w:pgMar w:top="1438" w:right="1134" w:bottom="17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EED" w:rsidRDefault="000A5EED" w:rsidP="004D67C9">
      <w:pPr>
        <w:spacing w:before="0" w:after="0" w:line="240" w:lineRule="auto"/>
      </w:pPr>
      <w:r>
        <w:separator/>
      </w:r>
    </w:p>
  </w:endnote>
  <w:endnote w:type="continuationSeparator" w:id="0">
    <w:p w:rsidR="000A5EED" w:rsidRDefault="000A5EED" w:rsidP="004D67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9D" w:rsidRPr="00573288" w:rsidRDefault="0034169D" w:rsidP="00DA02C6">
    <w:pPr>
      <w:pStyle w:val="a3"/>
      <w:jc w:val="center"/>
      <w:rPr>
        <w:szCs w:val="20"/>
        <w:lang w:val="en-US"/>
      </w:rPr>
    </w:pPr>
    <w:proofErr w:type="gramStart"/>
    <w:r>
      <w:rPr>
        <w:szCs w:val="20"/>
        <w:lang w:val="en-US"/>
      </w:rPr>
      <w:t>page</w:t>
    </w:r>
    <w:proofErr w:type="gramEnd"/>
    <w:r w:rsidRPr="00CE74BC">
      <w:rPr>
        <w:szCs w:val="20"/>
      </w:rPr>
      <w:t xml:space="preserve"> </w:t>
    </w:r>
    <w:r w:rsidR="00AB6211" w:rsidRPr="00CE74BC">
      <w:rPr>
        <w:rStyle w:val="a4"/>
        <w:szCs w:val="20"/>
      </w:rPr>
      <w:fldChar w:fldCharType="begin"/>
    </w:r>
    <w:r w:rsidRPr="00CE74BC">
      <w:rPr>
        <w:rStyle w:val="a4"/>
        <w:szCs w:val="20"/>
      </w:rPr>
      <w:instrText xml:space="preserve"> PAGE </w:instrText>
    </w:r>
    <w:r w:rsidR="00AB6211" w:rsidRPr="00CE74BC">
      <w:rPr>
        <w:rStyle w:val="a4"/>
        <w:szCs w:val="20"/>
      </w:rPr>
      <w:fldChar w:fldCharType="separate"/>
    </w:r>
    <w:r w:rsidR="00603523">
      <w:rPr>
        <w:rStyle w:val="a4"/>
        <w:noProof/>
        <w:szCs w:val="20"/>
      </w:rPr>
      <w:t>2</w:t>
    </w:r>
    <w:r w:rsidR="00AB6211" w:rsidRPr="00CE74BC">
      <w:rPr>
        <w:rStyle w:val="a4"/>
        <w:szCs w:val="20"/>
      </w:rPr>
      <w:fldChar w:fldCharType="end"/>
    </w:r>
    <w:r w:rsidRPr="00CE74BC">
      <w:rPr>
        <w:rStyle w:val="a4"/>
        <w:szCs w:val="20"/>
      </w:rPr>
      <w:t xml:space="preserve"> </w:t>
    </w:r>
    <w:r>
      <w:rPr>
        <w:rStyle w:val="a4"/>
        <w:szCs w:val="20"/>
        <w:lang w:val="en-US"/>
      </w:rPr>
      <w:t>/</w:t>
    </w:r>
    <w:r w:rsidRPr="00CE74BC">
      <w:rPr>
        <w:rStyle w:val="a4"/>
        <w:szCs w:val="20"/>
      </w:rPr>
      <w:t xml:space="preserve"> </w:t>
    </w:r>
    <w:r w:rsidR="00AB6211" w:rsidRPr="00CE74BC">
      <w:rPr>
        <w:rStyle w:val="a4"/>
        <w:szCs w:val="20"/>
      </w:rPr>
      <w:fldChar w:fldCharType="begin"/>
    </w:r>
    <w:r w:rsidRPr="00CE74BC">
      <w:rPr>
        <w:rStyle w:val="a4"/>
        <w:szCs w:val="20"/>
      </w:rPr>
      <w:instrText xml:space="preserve"> NUMPAGES </w:instrText>
    </w:r>
    <w:r w:rsidR="00AB6211" w:rsidRPr="00CE74BC">
      <w:rPr>
        <w:rStyle w:val="a4"/>
        <w:szCs w:val="20"/>
      </w:rPr>
      <w:fldChar w:fldCharType="separate"/>
    </w:r>
    <w:r w:rsidR="001F0EB0">
      <w:rPr>
        <w:rStyle w:val="a4"/>
        <w:noProof/>
        <w:szCs w:val="20"/>
      </w:rPr>
      <w:t>11</w:t>
    </w:r>
    <w:r w:rsidR="00AB6211" w:rsidRPr="00CE74BC">
      <w:rPr>
        <w:rStyle w:val="a4"/>
        <w:szCs w:val="20"/>
      </w:rPr>
      <w:fldChar w:fldCharType="end"/>
    </w:r>
  </w:p>
  <w:p w:rsidR="0034169D" w:rsidRDefault="0034169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9D" w:rsidRDefault="0034169D" w:rsidP="001F336C">
    <w:pPr>
      <w:pStyle w:val="a3"/>
      <w:jc w:val="center"/>
    </w:pPr>
    <w:proofErr w:type="gramStart"/>
    <w:r>
      <w:rPr>
        <w:lang w:val="en-US"/>
      </w:rPr>
      <w:t>page</w:t>
    </w:r>
    <w:proofErr w:type="gramEnd"/>
    <w:r>
      <w:rPr>
        <w:lang w:val="en-US"/>
      </w:rPr>
      <w:t xml:space="preserve"> </w:t>
    </w:r>
    <w:r w:rsidR="00AB6211" w:rsidRPr="00CE74BC">
      <w:rPr>
        <w:rStyle w:val="a4"/>
        <w:szCs w:val="20"/>
      </w:rPr>
      <w:fldChar w:fldCharType="begin"/>
    </w:r>
    <w:r w:rsidRPr="00CE74BC">
      <w:rPr>
        <w:rStyle w:val="a4"/>
        <w:szCs w:val="20"/>
      </w:rPr>
      <w:instrText xml:space="preserve"> PAGE </w:instrText>
    </w:r>
    <w:r w:rsidR="00AB6211" w:rsidRPr="00CE74BC">
      <w:rPr>
        <w:rStyle w:val="a4"/>
        <w:szCs w:val="20"/>
      </w:rPr>
      <w:fldChar w:fldCharType="separate"/>
    </w:r>
    <w:r w:rsidR="001F0EB0">
      <w:rPr>
        <w:rStyle w:val="a4"/>
        <w:noProof/>
        <w:szCs w:val="20"/>
      </w:rPr>
      <w:t>5</w:t>
    </w:r>
    <w:r w:rsidR="00AB6211" w:rsidRPr="00CE74BC">
      <w:rPr>
        <w:rStyle w:val="a4"/>
        <w:szCs w:val="20"/>
      </w:rPr>
      <w:fldChar w:fldCharType="end"/>
    </w:r>
    <w:r w:rsidRPr="00CE74BC">
      <w:rPr>
        <w:rStyle w:val="a4"/>
        <w:szCs w:val="20"/>
      </w:rPr>
      <w:t xml:space="preserve"> </w:t>
    </w:r>
    <w:r>
      <w:rPr>
        <w:rStyle w:val="a4"/>
        <w:szCs w:val="20"/>
        <w:lang w:val="en-US"/>
      </w:rPr>
      <w:t>/</w:t>
    </w:r>
    <w:r w:rsidRPr="00CE74BC">
      <w:rPr>
        <w:rStyle w:val="a4"/>
        <w:szCs w:val="20"/>
      </w:rPr>
      <w:t xml:space="preserve"> </w:t>
    </w:r>
    <w:r w:rsidR="00AB6211" w:rsidRPr="00CE74BC">
      <w:rPr>
        <w:rStyle w:val="a4"/>
        <w:szCs w:val="20"/>
      </w:rPr>
      <w:fldChar w:fldCharType="begin"/>
    </w:r>
    <w:r w:rsidRPr="00CE74BC">
      <w:rPr>
        <w:rStyle w:val="a4"/>
        <w:szCs w:val="20"/>
      </w:rPr>
      <w:instrText xml:space="preserve"> NUMPAGES </w:instrText>
    </w:r>
    <w:r w:rsidR="00AB6211" w:rsidRPr="00CE74BC">
      <w:rPr>
        <w:rStyle w:val="a4"/>
        <w:szCs w:val="20"/>
      </w:rPr>
      <w:fldChar w:fldCharType="separate"/>
    </w:r>
    <w:r w:rsidR="001F0EB0">
      <w:rPr>
        <w:rStyle w:val="a4"/>
        <w:noProof/>
        <w:szCs w:val="20"/>
      </w:rPr>
      <w:t>11</w:t>
    </w:r>
    <w:r w:rsidR="00AB6211" w:rsidRPr="00CE74BC">
      <w:rPr>
        <w:rStyle w:val="a4"/>
        <w:szCs w:val="20"/>
      </w:rPr>
      <w:fldChar w:fldCharType="end"/>
    </w:r>
  </w:p>
  <w:p w:rsidR="0034169D" w:rsidRDefault="0034169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EED" w:rsidRDefault="000A5EED" w:rsidP="004D67C9">
      <w:pPr>
        <w:spacing w:before="0" w:after="0" w:line="240" w:lineRule="auto"/>
      </w:pPr>
      <w:r>
        <w:separator/>
      </w:r>
    </w:p>
  </w:footnote>
  <w:footnote w:type="continuationSeparator" w:id="0">
    <w:p w:rsidR="000A5EED" w:rsidRDefault="000A5EED" w:rsidP="004D67C9">
      <w:pPr>
        <w:spacing w:before="0" w:after="0" w:line="240" w:lineRule="auto"/>
      </w:pPr>
      <w:r>
        <w:continuationSeparator/>
      </w:r>
    </w:p>
  </w:footnote>
  <w:footnote w:id="1">
    <w:p w:rsidR="009A56A1" w:rsidRDefault="009A56A1" w:rsidP="009A56A1">
      <w:pPr>
        <w:pStyle w:val="a9"/>
        <w:tabs>
          <w:tab w:val="left" w:pos="7230"/>
        </w:tabs>
      </w:pPr>
      <w:r>
        <w:rPr>
          <w:rStyle w:val="aa"/>
        </w:rPr>
        <w:footnoteRef/>
      </w:r>
      <w:r w:rsidRPr="0081422E">
        <w:rPr>
          <w:lang w:val="en-GB"/>
        </w:rPr>
        <w:t xml:space="preserve"> </w:t>
      </w:r>
      <w:r w:rsidRPr="000A3099">
        <w:rPr>
          <w:lang w:val="en-US"/>
        </w:rPr>
        <w:t xml:space="preserve">Antonio Augusto </w:t>
      </w:r>
      <w:proofErr w:type="spellStart"/>
      <w:r w:rsidRPr="000A3099">
        <w:rPr>
          <w:lang w:val="en-US"/>
        </w:rPr>
        <w:t>Cançado</w:t>
      </w:r>
      <w:proofErr w:type="spellEnd"/>
      <w:r w:rsidRPr="000A3099">
        <w:rPr>
          <w:lang w:val="en-US"/>
        </w:rPr>
        <w:t xml:space="preserve"> </w:t>
      </w:r>
      <w:proofErr w:type="spellStart"/>
      <w:r w:rsidRPr="000A3099">
        <w:rPr>
          <w:lang w:val="en-US"/>
        </w:rPr>
        <w:t>Trindade</w:t>
      </w:r>
      <w:proofErr w:type="spellEnd"/>
      <w:r>
        <w:rPr>
          <w:lang w:val="en-US"/>
        </w:rPr>
        <w:t xml:space="preserve"> (</w:t>
      </w:r>
      <w:r w:rsidRPr="004644C5">
        <w:rPr>
          <w:lang w:val="en-US"/>
        </w:rPr>
        <w:t>1987) Co-existence and Co-ordination of Mechanisms of International Protection of Human Rights (at Global and Regional Levels) 202</w:t>
      </w:r>
      <w:r>
        <w:rPr>
          <w:lang w:val="en-US"/>
        </w:rPr>
        <w:t xml:space="preserve"> </w:t>
      </w:r>
      <w:r w:rsidRPr="004644C5">
        <w:rPr>
          <w:i/>
          <w:lang w:val="en-US"/>
        </w:rPr>
        <w:t xml:space="preserve">Collected Courses of </w:t>
      </w:r>
      <w:smartTag w:uri="urn:schemas-microsoft-com:office:smarttags" w:element="place">
        <w:smartTag w:uri="urn:schemas-microsoft-com:office:smarttags" w:element="PlaceName">
          <w:r w:rsidRPr="004644C5">
            <w:rPr>
              <w:i/>
              <w:lang w:val="en-US"/>
            </w:rPr>
            <w:t>The Hague</w:t>
          </w:r>
        </w:smartTag>
        <w:r w:rsidRPr="004644C5">
          <w:rPr>
            <w:i/>
            <w:lang w:val="en-US"/>
          </w:rPr>
          <w:t xml:space="preserve"> </w:t>
        </w:r>
        <w:smartTag w:uri="urn:schemas-microsoft-com:office:smarttags" w:element="PlaceType">
          <w:r w:rsidRPr="004644C5">
            <w:rPr>
              <w:i/>
              <w:lang w:val="en-US"/>
            </w:rPr>
            <w:t>Academy</w:t>
          </w:r>
        </w:smartTag>
      </w:smartTag>
      <w:r w:rsidRPr="004644C5">
        <w:rPr>
          <w:i/>
          <w:lang w:val="en-US"/>
        </w:rPr>
        <w:t xml:space="preserve"> of International Law</w:t>
      </w:r>
      <w:r>
        <w:rPr>
          <w:lang w:val="en-US"/>
        </w:rPr>
        <w:t xml:space="preserve"> 1-435, </w:t>
      </w:r>
      <w:r w:rsidRPr="000A3099">
        <w:rPr>
          <w:lang w:val="en-US"/>
        </w:rPr>
        <w:t>34</w:t>
      </w:r>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78B"/>
    <w:multiLevelType w:val="hybridMultilevel"/>
    <w:tmpl w:val="9F90D8D4"/>
    <w:lvl w:ilvl="0" w:tplc="72F6AA7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51014"/>
    <w:multiLevelType w:val="hybridMultilevel"/>
    <w:tmpl w:val="E1088FE8"/>
    <w:lvl w:ilvl="0" w:tplc="72F6AA7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B5B0E"/>
    <w:multiLevelType w:val="hybridMultilevel"/>
    <w:tmpl w:val="8A9C1A8E"/>
    <w:lvl w:ilvl="0" w:tplc="72F6AA70">
      <w:start w:val="1"/>
      <w:numFmt w:val="bullet"/>
      <w:lvlText w:val="»"/>
      <w:lvlJc w:val="left"/>
      <w:pPr>
        <w:ind w:left="1123" w:hanging="360"/>
      </w:pPr>
      <w:rPr>
        <w:rFonts w:ascii="Calibri" w:hAnsi="Calibri" w:hint="default"/>
      </w:rPr>
    </w:lvl>
    <w:lvl w:ilvl="1" w:tplc="0C070003">
      <w:start w:val="1"/>
      <w:numFmt w:val="bullet"/>
      <w:lvlText w:val="o"/>
      <w:lvlJc w:val="left"/>
      <w:pPr>
        <w:ind w:left="1843" w:hanging="360"/>
      </w:pPr>
      <w:rPr>
        <w:rFonts w:ascii="Courier New" w:hAnsi="Courier New" w:hint="default"/>
      </w:rPr>
    </w:lvl>
    <w:lvl w:ilvl="2" w:tplc="0C070005" w:tentative="1">
      <w:start w:val="1"/>
      <w:numFmt w:val="bullet"/>
      <w:lvlText w:val=""/>
      <w:lvlJc w:val="left"/>
      <w:pPr>
        <w:ind w:left="2563" w:hanging="360"/>
      </w:pPr>
      <w:rPr>
        <w:rFonts w:ascii="Wingdings" w:hAnsi="Wingdings" w:hint="default"/>
      </w:rPr>
    </w:lvl>
    <w:lvl w:ilvl="3" w:tplc="0C070001" w:tentative="1">
      <w:start w:val="1"/>
      <w:numFmt w:val="bullet"/>
      <w:lvlText w:val=""/>
      <w:lvlJc w:val="left"/>
      <w:pPr>
        <w:ind w:left="3283" w:hanging="360"/>
      </w:pPr>
      <w:rPr>
        <w:rFonts w:ascii="Symbol" w:hAnsi="Symbol" w:hint="default"/>
      </w:rPr>
    </w:lvl>
    <w:lvl w:ilvl="4" w:tplc="0C070003" w:tentative="1">
      <w:start w:val="1"/>
      <w:numFmt w:val="bullet"/>
      <w:lvlText w:val="o"/>
      <w:lvlJc w:val="left"/>
      <w:pPr>
        <w:ind w:left="4003" w:hanging="360"/>
      </w:pPr>
      <w:rPr>
        <w:rFonts w:ascii="Courier New" w:hAnsi="Courier New" w:hint="default"/>
      </w:rPr>
    </w:lvl>
    <w:lvl w:ilvl="5" w:tplc="0C070005" w:tentative="1">
      <w:start w:val="1"/>
      <w:numFmt w:val="bullet"/>
      <w:lvlText w:val=""/>
      <w:lvlJc w:val="left"/>
      <w:pPr>
        <w:ind w:left="4723" w:hanging="360"/>
      </w:pPr>
      <w:rPr>
        <w:rFonts w:ascii="Wingdings" w:hAnsi="Wingdings" w:hint="default"/>
      </w:rPr>
    </w:lvl>
    <w:lvl w:ilvl="6" w:tplc="0C070001" w:tentative="1">
      <w:start w:val="1"/>
      <w:numFmt w:val="bullet"/>
      <w:lvlText w:val=""/>
      <w:lvlJc w:val="left"/>
      <w:pPr>
        <w:ind w:left="5443" w:hanging="360"/>
      </w:pPr>
      <w:rPr>
        <w:rFonts w:ascii="Symbol" w:hAnsi="Symbol" w:hint="default"/>
      </w:rPr>
    </w:lvl>
    <w:lvl w:ilvl="7" w:tplc="0C070003" w:tentative="1">
      <w:start w:val="1"/>
      <w:numFmt w:val="bullet"/>
      <w:lvlText w:val="o"/>
      <w:lvlJc w:val="left"/>
      <w:pPr>
        <w:ind w:left="6163" w:hanging="360"/>
      </w:pPr>
      <w:rPr>
        <w:rFonts w:ascii="Courier New" w:hAnsi="Courier New" w:hint="default"/>
      </w:rPr>
    </w:lvl>
    <w:lvl w:ilvl="8" w:tplc="0C070005" w:tentative="1">
      <w:start w:val="1"/>
      <w:numFmt w:val="bullet"/>
      <w:lvlText w:val=""/>
      <w:lvlJc w:val="left"/>
      <w:pPr>
        <w:ind w:left="6883" w:hanging="360"/>
      </w:pPr>
      <w:rPr>
        <w:rFonts w:ascii="Wingdings" w:hAnsi="Wingdings" w:hint="default"/>
      </w:rPr>
    </w:lvl>
  </w:abstractNum>
  <w:abstractNum w:abstractNumId="3">
    <w:nsid w:val="30F20020"/>
    <w:multiLevelType w:val="hybridMultilevel"/>
    <w:tmpl w:val="E9F02446"/>
    <w:lvl w:ilvl="0" w:tplc="918C129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2511F6"/>
    <w:multiLevelType w:val="hybridMultilevel"/>
    <w:tmpl w:val="8126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AE1ED0"/>
    <w:multiLevelType w:val="hybridMultilevel"/>
    <w:tmpl w:val="80FA9F1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8BF6036"/>
    <w:multiLevelType w:val="hybridMultilevel"/>
    <w:tmpl w:val="607A9D46"/>
    <w:lvl w:ilvl="0" w:tplc="72F6AA70">
      <w:start w:val="1"/>
      <w:numFmt w:val="bullet"/>
      <w:lvlText w:val="»"/>
      <w:lvlJc w:val="left"/>
      <w:pPr>
        <w:ind w:left="780" w:hanging="360"/>
      </w:pPr>
      <w:rPr>
        <w:rFonts w:ascii="Calibri" w:hAnsi="Calibri"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A5A792D"/>
    <w:multiLevelType w:val="hybridMultilevel"/>
    <w:tmpl w:val="23FAA17C"/>
    <w:lvl w:ilvl="0" w:tplc="72F6AA7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DB2817"/>
    <w:multiLevelType w:val="hybridMultilevel"/>
    <w:tmpl w:val="7640152C"/>
    <w:lvl w:ilvl="0" w:tplc="937477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4763D"/>
    <w:multiLevelType w:val="hybridMultilevel"/>
    <w:tmpl w:val="E1EA8C1C"/>
    <w:lvl w:ilvl="0" w:tplc="A1A4777E">
      <w:start w:val="1"/>
      <w:numFmt w:val="bullet"/>
      <w:lvlText w:val="»"/>
      <w:lvlJc w:val="left"/>
      <w:pPr>
        <w:ind w:left="1033" w:hanging="360"/>
      </w:pPr>
      <w:rPr>
        <w:rFonts w:ascii="Calibri" w:hAnsi="Calibri" w:hint="default"/>
      </w:rPr>
    </w:lvl>
    <w:lvl w:ilvl="1" w:tplc="04090003" w:tentative="1">
      <w:start w:val="1"/>
      <w:numFmt w:val="bullet"/>
      <w:lvlText w:val="o"/>
      <w:lvlJc w:val="left"/>
      <w:pPr>
        <w:ind w:left="1753" w:hanging="360"/>
      </w:pPr>
      <w:rPr>
        <w:rFonts w:ascii="Courier New" w:hAnsi="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hint="default"/>
      </w:rPr>
    </w:lvl>
    <w:lvl w:ilvl="8" w:tplc="04090005" w:tentative="1">
      <w:start w:val="1"/>
      <w:numFmt w:val="bullet"/>
      <w:lvlText w:val=""/>
      <w:lvlJc w:val="left"/>
      <w:pPr>
        <w:ind w:left="6793"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8"/>
  </w:num>
  <w:num w:numId="6">
    <w:abstractNumId w:val="4"/>
  </w:num>
  <w:num w:numId="7">
    <w:abstractNumId w:val="9"/>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C9"/>
    <w:rsid w:val="00025B2A"/>
    <w:rsid w:val="000364B9"/>
    <w:rsid w:val="0004736A"/>
    <w:rsid w:val="000569C0"/>
    <w:rsid w:val="000611F9"/>
    <w:rsid w:val="000A3099"/>
    <w:rsid w:val="000A5EED"/>
    <w:rsid w:val="000D2B3B"/>
    <w:rsid w:val="000E0E2B"/>
    <w:rsid w:val="0013597B"/>
    <w:rsid w:val="00157F26"/>
    <w:rsid w:val="00161483"/>
    <w:rsid w:val="00190B32"/>
    <w:rsid w:val="00196546"/>
    <w:rsid w:val="001C6F2C"/>
    <w:rsid w:val="001F0EB0"/>
    <w:rsid w:val="001F336C"/>
    <w:rsid w:val="002900D7"/>
    <w:rsid w:val="002A3956"/>
    <w:rsid w:val="002A4A29"/>
    <w:rsid w:val="002D7AEA"/>
    <w:rsid w:val="002E0BEF"/>
    <w:rsid w:val="002E5A7A"/>
    <w:rsid w:val="002F619C"/>
    <w:rsid w:val="002F727E"/>
    <w:rsid w:val="0034169D"/>
    <w:rsid w:val="00361098"/>
    <w:rsid w:val="0036132A"/>
    <w:rsid w:val="003644A7"/>
    <w:rsid w:val="00396709"/>
    <w:rsid w:val="003A1818"/>
    <w:rsid w:val="003B7CF0"/>
    <w:rsid w:val="003C2028"/>
    <w:rsid w:val="00401B14"/>
    <w:rsid w:val="0044770D"/>
    <w:rsid w:val="00450ACE"/>
    <w:rsid w:val="004644C5"/>
    <w:rsid w:val="004A4282"/>
    <w:rsid w:val="004B348A"/>
    <w:rsid w:val="004D1CE6"/>
    <w:rsid w:val="004D67C9"/>
    <w:rsid w:val="005062CF"/>
    <w:rsid w:val="00527594"/>
    <w:rsid w:val="00546BEA"/>
    <w:rsid w:val="00551D31"/>
    <w:rsid w:val="00573288"/>
    <w:rsid w:val="005816B9"/>
    <w:rsid w:val="005A6499"/>
    <w:rsid w:val="005D5C93"/>
    <w:rsid w:val="00603523"/>
    <w:rsid w:val="00615367"/>
    <w:rsid w:val="006155FE"/>
    <w:rsid w:val="00624D24"/>
    <w:rsid w:val="00634CBC"/>
    <w:rsid w:val="00642339"/>
    <w:rsid w:val="006430F9"/>
    <w:rsid w:val="00656624"/>
    <w:rsid w:val="00661AF5"/>
    <w:rsid w:val="0066343A"/>
    <w:rsid w:val="00685476"/>
    <w:rsid w:val="006B4B67"/>
    <w:rsid w:val="006B794B"/>
    <w:rsid w:val="006E0E91"/>
    <w:rsid w:val="006E686D"/>
    <w:rsid w:val="006F3C63"/>
    <w:rsid w:val="006F6E7D"/>
    <w:rsid w:val="007152CB"/>
    <w:rsid w:val="00753DDD"/>
    <w:rsid w:val="00761F91"/>
    <w:rsid w:val="00772B5B"/>
    <w:rsid w:val="00786F17"/>
    <w:rsid w:val="007B0056"/>
    <w:rsid w:val="007D1DD3"/>
    <w:rsid w:val="0081422E"/>
    <w:rsid w:val="00826452"/>
    <w:rsid w:val="0085795F"/>
    <w:rsid w:val="00862ACC"/>
    <w:rsid w:val="008B7B57"/>
    <w:rsid w:val="008E257D"/>
    <w:rsid w:val="008F32CB"/>
    <w:rsid w:val="00937AC1"/>
    <w:rsid w:val="0094019F"/>
    <w:rsid w:val="00981628"/>
    <w:rsid w:val="009970D5"/>
    <w:rsid w:val="009A56A1"/>
    <w:rsid w:val="009A715B"/>
    <w:rsid w:val="009C4FE0"/>
    <w:rsid w:val="009F29B8"/>
    <w:rsid w:val="00A712C5"/>
    <w:rsid w:val="00A918B5"/>
    <w:rsid w:val="00A93813"/>
    <w:rsid w:val="00AB6211"/>
    <w:rsid w:val="00B107A2"/>
    <w:rsid w:val="00B42032"/>
    <w:rsid w:val="00B42D2B"/>
    <w:rsid w:val="00BE1A1E"/>
    <w:rsid w:val="00BF539E"/>
    <w:rsid w:val="00C41E4A"/>
    <w:rsid w:val="00C60A15"/>
    <w:rsid w:val="00C702EA"/>
    <w:rsid w:val="00C975EC"/>
    <w:rsid w:val="00CA6DFC"/>
    <w:rsid w:val="00CB3F05"/>
    <w:rsid w:val="00CE5429"/>
    <w:rsid w:val="00CE74BC"/>
    <w:rsid w:val="00D03975"/>
    <w:rsid w:val="00D66FAF"/>
    <w:rsid w:val="00D76008"/>
    <w:rsid w:val="00D81DAA"/>
    <w:rsid w:val="00DA02C6"/>
    <w:rsid w:val="00DA29FF"/>
    <w:rsid w:val="00DB0E87"/>
    <w:rsid w:val="00DF7E34"/>
    <w:rsid w:val="00E11154"/>
    <w:rsid w:val="00E2291D"/>
    <w:rsid w:val="00E26DFE"/>
    <w:rsid w:val="00E44D6B"/>
    <w:rsid w:val="00E64E14"/>
    <w:rsid w:val="00EA4DEA"/>
    <w:rsid w:val="00EE24BF"/>
    <w:rsid w:val="00EE2926"/>
    <w:rsid w:val="00EE6F6F"/>
    <w:rsid w:val="00EE7239"/>
    <w:rsid w:val="00EE7B0B"/>
    <w:rsid w:val="00F1047C"/>
    <w:rsid w:val="00F11535"/>
    <w:rsid w:val="00F83B0A"/>
    <w:rsid w:val="00FB58E5"/>
    <w:rsid w:val="00FC1388"/>
    <w:rsid w:val="00FD36B6"/>
    <w:rsid w:val="00FE5DDF"/>
    <w:rsid w:val="00FF09F7"/>
    <w:rsid w:val="00FF57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C9"/>
    <w:pPr>
      <w:spacing w:before="120" w:after="120" w:line="360" w:lineRule="auto"/>
    </w:pPr>
    <w:rPr>
      <w:rFonts w:eastAsia="Times New Roman"/>
      <w:szCs w:val="24"/>
      <w:lang w:val="el-GR" w:eastAsia="el-GR"/>
    </w:rPr>
  </w:style>
  <w:style w:type="paragraph" w:styleId="1">
    <w:name w:val="heading 1"/>
    <w:basedOn w:val="a"/>
    <w:next w:val="a"/>
    <w:link w:val="1Char"/>
    <w:uiPriority w:val="99"/>
    <w:qFormat/>
    <w:rsid w:val="004D67C9"/>
    <w:pPr>
      <w:keepNext/>
      <w:spacing w:before="240" w:after="60" w:line="276" w:lineRule="auto"/>
      <w:outlineLvl w:val="0"/>
    </w:pPr>
    <w:rPr>
      <w:rFonts w:ascii="Cambria" w:hAnsi="Cambria"/>
      <w:b/>
      <w:bCs/>
      <w:kern w:val="32"/>
      <w:sz w:val="32"/>
      <w:szCs w:val="32"/>
      <w:lang w:val="de-DE" w:eastAsia="en-US"/>
    </w:rPr>
  </w:style>
  <w:style w:type="paragraph" w:styleId="2">
    <w:name w:val="heading 2"/>
    <w:basedOn w:val="a"/>
    <w:next w:val="a"/>
    <w:link w:val="2Char"/>
    <w:uiPriority w:val="99"/>
    <w:qFormat/>
    <w:rsid w:val="00F1047C"/>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4D67C9"/>
    <w:rPr>
      <w:rFonts w:ascii="Cambria" w:hAnsi="Cambria" w:cs="Times New Roman"/>
      <w:b/>
      <w:bCs/>
      <w:kern w:val="32"/>
      <w:sz w:val="32"/>
      <w:szCs w:val="32"/>
      <w:lang w:val="de-DE"/>
    </w:rPr>
  </w:style>
  <w:style w:type="character" w:customStyle="1" w:styleId="2Char">
    <w:name w:val="Επικεφαλίδα 2 Char"/>
    <w:basedOn w:val="a0"/>
    <w:link w:val="2"/>
    <w:uiPriority w:val="99"/>
    <w:locked/>
    <w:rsid w:val="00F1047C"/>
    <w:rPr>
      <w:rFonts w:ascii="Cambria" w:hAnsi="Cambria" w:cs="Times New Roman"/>
      <w:b/>
      <w:bCs/>
      <w:color w:val="4F81BD"/>
      <w:sz w:val="26"/>
      <w:szCs w:val="26"/>
      <w:lang w:eastAsia="el-GR"/>
    </w:rPr>
  </w:style>
  <w:style w:type="paragraph" w:styleId="a3">
    <w:name w:val="footer"/>
    <w:basedOn w:val="a"/>
    <w:link w:val="Char"/>
    <w:uiPriority w:val="99"/>
    <w:rsid w:val="004D67C9"/>
    <w:pPr>
      <w:tabs>
        <w:tab w:val="center" w:pos="4153"/>
        <w:tab w:val="right" w:pos="8306"/>
      </w:tabs>
    </w:pPr>
  </w:style>
  <w:style w:type="character" w:customStyle="1" w:styleId="Char">
    <w:name w:val="Υποσέλιδο Char"/>
    <w:basedOn w:val="a0"/>
    <w:link w:val="a3"/>
    <w:uiPriority w:val="99"/>
    <w:locked/>
    <w:rsid w:val="004D67C9"/>
    <w:rPr>
      <w:rFonts w:ascii="Calibri" w:hAnsi="Calibri" w:cs="Times New Roman"/>
      <w:sz w:val="24"/>
      <w:szCs w:val="24"/>
      <w:lang w:eastAsia="el-GR"/>
    </w:rPr>
  </w:style>
  <w:style w:type="character" w:styleId="a4">
    <w:name w:val="page number"/>
    <w:basedOn w:val="a0"/>
    <w:uiPriority w:val="99"/>
    <w:rsid w:val="004D67C9"/>
    <w:rPr>
      <w:rFonts w:cs="Times New Roman"/>
    </w:rPr>
  </w:style>
  <w:style w:type="table" w:styleId="a5">
    <w:name w:val="Table Grid"/>
    <w:basedOn w:val="a1"/>
    <w:uiPriority w:val="99"/>
    <w:rsid w:val="004D67C9"/>
    <w:rPr>
      <w:rFonts w:ascii="Times New Roman" w:eastAsia="Times New Roman" w:hAnsi="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itle">
    <w:name w:val="Main Title"/>
    <w:basedOn w:val="a"/>
    <w:uiPriority w:val="99"/>
    <w:rsid w:val="004D67C9"/>
    <w:pPr>
      <w:spacing w:line="240" w:lineRule="auto"/>
      <w:jc w:val="center"/>
    </w:pPr>
    <w:rPr>
      <w:rFonts w:ascii="Garamond" w:hAnsi="Garamond"/>
      <w:b/>
      <w:color w:val="404040"/>
      <w:spacing w:val="40"/>
      <w:sz w:val="40"/>
      <w:u w:color="D9D9D9"/>
    </w:rPr>
  </w:style>
  <w:style w:type="character" w:styleId="-">
    <w:name w:val="Hyperlink"/>
    <w:basedOn w:val="a0"/>
    <w:uiPriority w:val="99"/>
    <w:rsid w:val="004D67C9"/>
    <w:rPr>
      <w:rFonts w:cs="Times New Roman"/>
      <w:color w:val="0000FF"/>
      <w:u w:val="single"/>
    </w:rPr>
  </w:style>
  <w:style w:type="paragraph" w:styleId="10">
    <w:name w:val="toc 1"/>
    <w:basedOn w:val="a"/>
    <w:next w:val="a"/>
    <w:autoRedefine/>
    <w:uiPriority w:val="39"/>
    <w:rsid w:val="004D67C9"/>
    <w:rPr>
      <w:rFonts w:ascii="Tahoma" w:hAnsi="Tahoma"/>
      <w:b/>
      <w:bCs/>
      <w:color w:val="595959"/>
      <w:szCs w:val="20"/>
    </w:rPr>
  </w:style>
  <w:style w:type="paragraph" w:customStyle="1" w:styleId="StyleTitleTOC">
    <w:name w:val="Style Title TOC"/>
    <w:basedOn w:val="a"/>
    <w:uiPriority w:val="99"/>
    <w:rsid w:val="004D67C9"/>
    <w:pPr>
      <w:jc w:val="center"/>
    </w:pPr>
    <w:rPr>
      <w:b/>
    </w:rPr>
  </w:style>
  <w:style w:type="paragraph" w:styleId="a6">
    <w:name w:val="Balloon Text"/>
    <w:basedOn w:val="a"/>
    <w:link w:val="Char0"/>
    <w:uiPriority w:val="99"/>
    <w:semiHidden/>
    <w:rsid w:val="004D67C9"/>
    <w:pPr>
      <w:spacing w:before="0"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locked/>
    <w:rsid w:val="004D67C9"/>
    <w:rPr>
      <w:rFonts w:ascii="Tahoma" w:hAnsi="Tahoma" w:cs="Tahoma"/>
      <w:sz w:val="16"/>
      <w:szCs w:val="16"/>
      <w:lang w:eastAsia="el-GR"/>
    </w:rPr>
  </w:style>
  <w:style w:type="paragraph" w:styleId="a7">
    <w:name w:val="Body Text"/>
    <w:basedOn w:val="a"/>
    <w:link w:val="Char1"/>
    <w:uiPriority w:val="99"/>
    <w:rsid w:val="004D67C9"/>
    <w:pPr>
      <w:spacing w:before="0" w:line="276" w:lineRule="auto"/>
    </w:pPr>
    <w:rPr>
      <w:rFonts w:eastAsia="Calibri"/>
      <w:szCs w:val="22"/>
      <w:lang w:val="de-DE" w:eastAsia="en-US"/>
    </w:rPr>
  </w:style>
  <w:style w:type="character" w:customStyle="1" w:styleId="Char1">
    <w:name w:val="Σώμα κειμένου Char"/>
    <w:basedOn w:val="a0"/>
    <w:link w:val="a7"/>
    <w:uiPriority w:val="99"/>
    <w:locked/>
    <w:rsid w:val="004D67C9"/>
    <w:rPr>
      <w:rFonts w:ascii="Calibri" w:hAnsi="Calibri" w:cs="Times New Roman"/>
      <w:lang w:val="de-DE"/>
    </w:rPr>
  </w:style>
  <w:style w:type="paragraph" w:styleId="a8">
    <w:name w:val="List Paragraph"/>
    <w:basedOn w:val="a"/>
    <w:uiPriority w:val="99"/>
    <w:qFormat/>
    <w:rsid w:val="004D67C9"/>
    <w:pPr>
      <w:spacing w:before="0" w:after="200" w:line="276" w:lineRule="auto"/>
      <w:ind w:left="720"/>
      <w:contextualSpacing/>
    </w:pPr>
    <w:rPr>
      <w:rFonts w:eastAsia="Calibri"/>
      <w:szCs w:val="22"/>
      <w:lang w:val="de-DE" w:eastAsia="en-US"/>
    </w:rPr>
  </w:style>
  <w:style w:type="paragraph" w:styleId="a9">
    <w:name w:val="footnote text"/>
    <w:basedOn w:val="a"/>
    <w:link w:val="Char2"/>
    <w:uiPriority w:val="99"/>
    <w:semiHidden/>
    <w:rsid w:val="004D67C9"/>
    <w:pPr>
      <w:spacing w:before="0" w:after="0" w:line="240" w:lineRule="auto"/>
    </w:pPr>
    <w:rPr>
      <w:rFonts w:eastAsia="Calibri"/>
      <w:sz w:val="20"/>
      <w:szCs w:val="20"/>
      <w:lang w:val="de-DE" w:eastAsia="en-US"/>
    </w:rPr>
  </w:style>
  <w:style w:type="character" w:customStyle="1" w:styleId="Char2">
    <w:name w:val="Κείμενο υποσημείωσης Char"/>
    <w:basedOn w:val="a0"/>
    <w:link w:val="a9"/>
    <w:uiPriority w:val="99"/>
    <w:semiHidden/>
    <w:locked/>
    <w:rsid w:val="004D67C9"/>
    <w:rPr>
      <w:rFonts w:ascii="Calibri" w:hAnsi="Calibri" w:cs="Times New Roman"/>
      <w:sz w:val="20"/>
      <w:szCs w:val="20"/>
      <w:lang w:val="de-DE"/>
    </w:rPr>
  </w:style>
  <w:style w:type="character" w:styleId="aa">
    <w:name w:val="footnote reference"/>
    <w:basedOn w:val="a0"/>
    <w:uiPriority w:val="99"/>
    <w:semiHidden/>
    <w:rsid w:val="004D67C9"/>
    <w:rPr>
      <w:rFonts w:cs="Times New Roman"/>
      <w:vertAlign w:val="superscript"/>
    </w:rPr>
  </w:style>
  <w:style w:type="paragraph" w:styleId="ab">
    <w:name w:val="Quote"/>
    <w:basedOn w:val="a"/>
    <w:next w:val="a"/>
    <w:link w:val="Char3"/>
    <w:uiPriority w:val="99"/>
    <w:qFormat/>
    <w:rsid w:val="004D67C9"/>
    <w:pPr>
      <w:spacing w:before="0" w:after="200" w:line="276" w:lineRule="auto"/>
    </w:pPr>
    <w:rPr>
      <w:rFonts w:eastAsia="Calibri"/>
      <w:i/>
      <w:iCs/>
      <w:color w:val="000000"/>
      <w:szCs w:val="22"/>
      <w:lang w:val="en-GB" w:eastAsia="en-US"/>
    </w:rPr>
  </w:style>
  <w:style w:type="character" w:customStyle="1" w:styleId="Char3">
    <w:name w:val="Απόσπασμα Char"/>
    <w:basedOn w:val="a0"/>
    <w:link w:val="ab"/>
    <w:uiPriority w:val="99"/>
    <w:locked/>
    <w:rsid w:val="004D67C9"/>
    <w:rPr>
      <w:rFonts w:ascii="Calibri" w:hAnsi="Calibri" w:cs="Times New Roman"/>
      <w:i/>
      <w:iCs/>
      <w:color w:val="000000"/>
      <w:lang w:val="en-GB"/>
    </w:rPr>
  </w:style>
  <w:style w:type="character" w:styleId="ac">
    <w:name w:val="Emphasis"/>
    <w:basedOn w:val="a0"/>
    <w:uiPriority w:val="99"/>
    <w:qFormat/>
    <w:rsid w:val="004D67C9"/>
    <w:rPr>
      <w:rFonts w:cs="Times New Roman"/>
      <w:i/>
      <w:iCs/>
    </w:rPr>
  </w:style>
  <w:style w:type="character" w:customStyle="1" w:styleId="apple-converted-space">
    <w:name w:val="apple-converted-space"/>
    <w:basedOn w:val="a0"/>
    <w:uiPriority w:val="99"/>
    <w:rsid w:val="004D67C9"/>
    <w:rPr>
      <w:rFonts w:cs="Times New Roman"/>
    </w:rPr>
  </w:style>
  <w:style w:type="paragraph" w:styleId="20">
    <w:name w:val="toc 2"/>
    <w:basedOn w:val="a"/>
    <w:next w:val="a"/>
    <w:autoRedefine/>
    <w:uiPriority w:val="39"/>
    <w:rsid w:val="00546BEA"/>
    <w:pPr>
      <w:spacing w:after="100"/>
      <w:ind w:left="220"/>
    </w:pPr>
  </w:style>
  <w:style w:type="character" w:styleId="-0">
    <w:name w:val="FollowedHyperlink"/>
    <w:basedOn w:val="a0"/>
    <w:uiPriority w:val="99"/>
    <w:semiHidden/>
    <w:rsid w:val="00DB0E87"/>
    <w:rPr>
      <w:rFonts w:cs="Times New Roman"/>
      <w:color w:val="800080"/>
      <w:u w:val="single"/>
    </w:rPr>
  </w:style>
  <w:style w:type="character" w:styleId="ad">
    <w:name w:val="annotation reference"/>
    <w:basedOn w:val="a0"/>
    <w:uiPriority w:val="99"/>
    <w:semiHidden/>
    <w:rsid w:val="00D03975"/>
    <w:rPr>
      <w:rFonts w:cs="Times New Roman"/>
      <w:sz w:val="16"/>
      <w:szCs w:val="16"/>
    </w:rPr>
  </w:style>
  <w:style w:type="paragraph" w:styleId="ae">
    <w:name w:val="annotation text"/>
    <w:basedOn w:val="a"/>
    <w:link w:val="Char4"/>
    <w:uiPriority w:val="99"/>
    <w:semiHidden/>
    <w:rsid w:val="00D03975"/>
    <w:rPr>
      <w:sz w:val="20"/>
      <w:szCs w:val="20"/>
    </w:rPr>
  </w:style>
  <w:style w:type="character" w:customStyle="1" w:styleId="Char4">
    <w:name w:val="Κείμενο σχολίου Char"/>
    <w:basedOn w:val="a0"/>
    <w:link w:val="ae"/>
    <w:uiPriority w:val="99"/>
    <w:semiHidden/>
    <w:locked/>
    <w:rsid w:val="00615367"/>
    <w:rPr>
      <w:rFonts w:eastAsia="Times New Roman" w:cs="Times New Roman"/>
      <w:sz w:val="20"/>
      <w:szCs w:val="20"/>
      <w:lang w:val="el-GR" w:eastAsia="el-GR"/>
    </w:rPr>
  </w:style>
  <w:style w:type="paragraph" w:styleId="af">
    <w:name w:val="annotation subject"/>
    <w:basedOn w:val="ae"/>
    <w:next w:val="ae"/>
    <w:link w:val="Char5"/>
    <w:uiPriority w:val="99"/>
    <w:semiHidden/>
    <w:rsid w:val="00D03975"/>
    <w:rPr>
      <w:b/>
      <w:bCs/>
    </w:rPr>
  </w:style>
  <w:style w:type="character" w:customStyle="1" w:styleId="Char5">
    <w:name w:val="Θέμα σχολίου Char"/>
    <w:basedOn w:val="Char4"/>
    <w:link w:val="af"/>
    <w:uiPriority w:val="99"/>
    <w:semiHidden/>
    <w:locked/>
    <w:rsid w:val="00615367"/>
    <w:rPr>
      <w:rFonts w:eastAsia="Times New Roman" w:cs="Times New Roman"/>
      <w:b/>
      <w:bCs/>
      <w:sz w:val="20"/>
      <w:szCs w:val="20"/>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C9"/>
    <w:pPr>
      <w:spacing w:before="120" w:after="120" w:line="360" w:lineRule="auto"/>
    </w:pPr>
    <w:rPr>
      <w:rFonts w:eastAsia="Times New Roman"/>
      <w:szCs w:val="24"/>
      <w:lang w:val="el-GR" w:eastAsia="el-GR"/>
    </w:rPr>
  </w:style>
  <w:style w:type="paragraph" w:styleId="1">
    <w:name w:val="heading 1"/>
    <w:basedOn w:val="a"/>
    <w:next w:val="a"/>
    <w:link w:val="1Char"/>
    <w:uiPriority w:val="99"/>
    <w:qFormat/>
    <w:rsid w:val="004D67C9"/>
    <w:pPr>
      <w:keepNext/>
      <w:spacing w:before="240" w:after="60" w:line="276" w:lineRule="auto"/>
      <w:outlineLvl w:val="0"/>
    </w:pPr>
    <w:rPr>
      <w:rFonts w:ascii="Cambria" w:hAnsi="Cambria"/>
      <w:b/>
      <w:bCs/>
      <w:kern w:val="32"/>
      <w:sz w:val="32"/>
      <w:szCs w:val="32"/>
      <w:lang w:val="de-DE" w:eastAsia="en-US"/>
    </w:rPr>
  </w:style>
  <w:style w:type="paragraph" w:styleId="2">
    <w:name w:val="heading 2"/>
    <w:basedOn w:val="a"/>
    <w:next w:val="a"/>
    <w:link w:val="2Char"/>
    <w:uiPriority w:val="99"/>
    <w:qFormat/>
    <w:rsid w:val="00F1047C"/>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4D67C9"/>
    <w:rPr>
      <w:rFonts w:ascii="Cambria" w:hAnsi="Cambria" w:cs="Times New Roman"/>
      <w:b/>
      <w:bCs/>
      <w:kern w:val="32"/>
      <w:sz w:val="32"/>
      <w:szCs w:val="32"/>
      <w:lang w:val="de-DE"/>
    </w:rPr>
  </w:style>
  <w:style w:type="character" w:customStyle="1" w:styleId="2Char">
    <w:name w:val="Επικεφαλίδα 2 Char"/>
    <w:basedOn w:val="a0"/>
    <w:link w:val="2"/>
    <w:uiPriority w:val="99"/>
    <w:locked/>
    <w:rsid w:val="00F1047C"/>
    <w:rPr>
      <w:rFonts w:ascii="Cambria" w:hAnsi="Cambria" w:cs="Times New Roman"/>
      <w:b/>
      <w:bCs/>
      <w:color w:val="4F81BD"/>
      <w:sz w:val="26"/>
      <w:szCs w:val="26"/>
      <w:lang w:eastAsia="el-GR"/>
    </w:rPr>
  </w:style>
  <w:style w:type="paragraph" w:styleId="a3">
    <w:name w:val="footer"/>
    <w:basedOn w:val="a"/>
    <w:link w:val="Char"/>
    <w:uiPriority w:val="99"/>
    <w:rsid w:val="004D67C9"/>
    <w:pPr>
      <w:tabs>
        <w:tab w:val="center" w:pos="4153"/>
        <w:tab w:val="right" w:pos="8306"/>
      </w:tabs>
    </w:pPr>
  </w:style>
  <w:style w:type="character" w:customStyle="1" w:styleId="Char">
    <w:name w:val="Υποσέλιδο Char"/>
    <w:basedOn w:val="a0"/>
    <w:link w:val="a3"/>
    <w:uiPriority w:val="99"/>
    <w:locked/>
    <w:rsid w:val="004D67C9"/>
    <w:rPr>
      <w:rFonts w:ascii="Calibri" w:hAnsi="Calibri" w:cs="Times New Roman"/>
      <w:sz w:val="24"/>
      <w:szCs w:val="24"/>
      <w:lang w:eastAsia="el-GR"/>
    </w:rPr>
  </w:style>
  <w:style w:type="character" w:styleId="a4">
    <w:name w:val="page number"/>
    <w:basedOn w:val="a0"/>
    <w:uiPriority w:val="99"/>
    <w:rsid w:val="004D67C9"/>
    <w:rPr>
      <w:rFonts w:cs="Times New Roman"/>
    </w:rPr>
  </w:style>
  <w:style w:type="table" w:styleId="a5">
    <w:name w:val="Table Grid"/>
    <w:basedOn w:val="a1"/>
    <w:uiPriority w:val="99"/>
    <w:rsid w:val="004D67C9"/>
    <w:rPr>
      <w:rFonts w:ascii="Times New Roman" w:eastAsia="Times New Roman" w:hAnsi="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itle">
    <w:name w:val="Main Title"/>
    <w:basedOn w:val="a"/>
    <w:uiPriority w:val="99"/>
    <w:rsid w:val="004D67C9"/>
    <w:pPr>
      <w:spacing w:line="240" w:lineRule="auto"/>
      <w:jc w:val="center"/>
    </w:pPr>
    <w:rPr>
      <w:rFonts w:ascii="Garamond" w:hAnsi="Garamond"/>
      <w:b/>
      <w:color w:val="404040"/>
      <w:spacing w:val="40"/>
      <w:sz w:val="40"/>
      <w:u w:color="D9D9D9"/>
    </w:rPr>
  </w:style>
  <w:style w:type="character" w:styleId="-">
    <w:name w:val="Hyperlink"/>
    <w:basedOn w:val="a0"/>
    <w:uiPriority w:val="99"/>
    <w:rsid w:val="004D67C9"/>
    <w:rPr>
      <w:rFonts w:cs="Times New Roman"/>
      <w:color w:val="0000FF"/>
      <w:u w:val="single"/>
    </w:rPr>
  </w:style>
  <w:style w:type="paragraph" w:styleId="10">
    <w:name w:val="toc 1"/>
    <w:basedOn w:val="a"/>
    <w:next w:val="a"/>
    <w:autoRedefine/>
    <w:uiPriority w:val="39"/>
    <w:rsid w:val="004D67C9"/>
    <w:rPr>
      <w:rFonts w:ascii="Tahoma" w:hAnsi="Tahoma"/>
      <w:b/>
      <w:bCs/>
      <w:color w:val="595959"/>
      <w:szCs w:val="20"/>
    </w:rPr>
  </w:style>
  <w:style w:type="paragraph" w:customStyle="1" w:styleId="StyleTitleTOC">
    <w:name w:val="Style Title TOC"/>
    <w:basedOn w:val="a"/>
    <w:uiPriority w:val="99"/>
    <w:rsid w:val="004D67C9"/>
    <w:pPr>
      <w:jc w:val="center"/>
    </w:pPr>
    <w:rPr>
      <w:b/>
    </w:rPr>
  </w:style>
  <w:style w:type="paragraph" w:styleId="a6">
    <w:name w:val="Balloon Text"/>
    <w:basedOn w:val="a"/>
    <w:link w:val="Char0"/>
    <w:uiPriority w:val="99"/>
    <w:semiHidden/>
    <w:rsid w:val="004D67C9"/>
    <w:pPr>
      <w:spacing w:before="0"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locked/>
    <w:rsid w:val="004D67C9"/>
    <w:rPr>
      <w:rFonts w:ascii="Tahoma" w:hAnsi="Tahoma" w:cs="Tahoma"/>
      <w:sz w:val="16"/>
      <w:szCs w:val="16"/>
      <w:lang w:eastAsia="el-GR"/>
    </w:rPr>
  </w:style>
  <w:style w:type="paragraph" w:styleId="a7">
    <w:name w:val="Body Text"/>
    <w:basedOn w:val="a"/>
    <w:link w:val="Char1"/>
    <w:uiPriority w:val="99"/>
    <w:rsid w:val="004D67C9"/>
    <w:pPr>
      <w:spacing w:before="0" w:line="276" w:lineRule="auto"/>
    </w:pPr>
    <w:rPr>
      <w:rFonts w:eastAsia="Calibri"/>
      <w:szCs w:val="22"/>
      <w:lang w:val="de-DE" w:eastAsia="en-US"/>
    </w:rPr>
  </w:style>
  <w:style w:type="character" w:customStyle="1" w:styleId="Char1">
    <w:name w:val="Σώμα κειμένου Char"/>
    <w:basedOn w:val="a0"/>
    <w:link w:val="a7"/>
    <w:uiPriority w:val="99"/>
    <w:locked/>
    <w:rsid w:val="004D67C9"/>
    <w:rPr>
      <w:rFonts w:ascii="Calibri" w:hAnsi="Calibri" w:cs="Times New Roman"/>
      <w:lang w:val="de-DE"/>
    </w:rPr>
  </w:style>
  <w:style w:type="paragraph" w:styleId="a8">
    <w:name w:val="List Paragraph"/>
    <w:basedOn w:val="a"/>
    <w:uiPriority w:val="99"/>
    <w:qFormat/>
    <w:rsid w:val="004D67C9"/>
    <w:pPr>
      <w:spacing w:before="0" w:after="200" w:line="276" w:lineRule="auto"/>
      <w:ind w:left="720"/>
      <w:contextualSpacing/>
    </w:pPr>
    <w:rPr>
      <w:rFonts w:eastAsia="Calibri"/>
      <w:szCs w:val="22"/>
      <w:lang w:val="de-DE" w:eastAsia="en-US"/>
    </w:rPr>
  </w:style>
  <w:style w:type="paragraph" w:styleId="a9">
    <w:name w:val="footnote text"/>
    <w:basedOn w:val="a"/>
    <w:link w:val="Char2"/>
    <w:uiPriority w:val="99"/>
    <w:semiHidden/>
    <w:rsid w:val="004D67C9"/>
    <w:pPr>
      <w:spacing w:before="0" w:after="0" w:line="240" w:lineRule="auto"/>
    </w:pPr>
    <w:rPr>
      <w:rFonts w:eastAsia="Calibri"/>
      <w:sz w:val="20"/>
      <w:szCs w:val="20"/>
      <w:lang w:val="de-DE" w:eastAsia="en-US"/>
    </w:rPr>
  </w:style>
  <w:style w:type="character" w:customStyle="1" w:styleId="Char2">
    <w:name w:val="Κείμενο υποσημείωσης Char"/>
    <w:basedOn w:val="a0"/>
    <w:link w:val="a9"/>
    <w:uiPriority w:val="99"/>
    <w:semiHidden/>
    <w:locked/>
    <w:rsid w:val="004D67C9"/>
    <w:rPr>
      <w:rFonts w:ascii="Calibri" w:hAnsi="Calibri" w:cs="Times New Roman"/>
      <w:sz w:val="20"/>
      <w:szCs w:val="20"/>
      <w:lang w:val="de-DE"/>
    </w:rPr>
  </w:style>
  <w:style w:type="character" w:styleId="aa">
    <w:name w:val="footnote reference"/>
    <w:basedOn w:val="a0"/>
    <w:uiPriority w:val="99"/>
    <w:semiHidden/>
    <w:rsid w:val="004D67C9"/>
    <w:rPr>
      <w:rFonts w:cs="Times New Roman"/>
      <w:vertAlign w:val="superscript"/>
    </w:rPr>
  </w:style>
  <w:style w:type="paragraph" w:styleId="ab">
    <w:name w:val="Quote"/>
    <w:basedOn w:val="a"/>
    <w:next w:val="a"/>
    <w:link w:val="Char3"/>
    <w:uiPriority w:val="99"/>
    <w:qFormat/>
    <w:rsid w:val="004D67C9"/>
    <w:pPr>
      <w:spacing w:before="0" w:after="200" w:line="276" w:lineRule="auto"/>
    </w:pPr>
    <w:rPr>
      <w:rFonts w:eastAsia="Calibri"/>
      <w:i/>
      <w:iCs/>
      <w:color w:val="000000"/>
      <w:szCs w:val="22"/>
      <w:lang w:val="en-GB" w:eastAsia="en-US"/>
    </w:rPr>
  </w:style>
  <w:style w:type="character" w:customStyle="1" w:styleId="Char3">
    <w:name w:val="Απόσπασμα Char"/>
    <w:basedOn w:val="a0"/>
    <w:link w:val="ab"/>
    <w:uiPriority w:val="99"/>
    <w:locked/>
    <w:rsid w:val="004D67C9"/>
    <w:rPr>
      <w:rFonts w:ascii="Calibri" w:hAnsi="Calibri" w:cs="Times New Roman"/>
      <w:i/>
      <w:iCs/>
      <w:color w:val="000000"/>
      <w:lang w:val="en-GB"/>
    </w:rPr>
  </w:style>
  <w:style w:type="character" w:styleId="ac">
    <w:name w:val="Emphasis"/>
    <w:basedOn w:val="a0"/>
    <w:uiPriority w:val="99"/>
    <w:qFormat/>
    <w:rsid w:val="004D67C9"/>
    <w:rPr>
      <w:rFonts w:cs="Times New Roman"/>
      <w:i/>
      <w:iCs/>
    </w:rPr>
  </w:style>
  <w:style w:type="character" w:customStyle="1" w:styleId="apple-converted-space">
    <w:name w:val="apple-converted-space"/>
    <w:basedOn w:val="a0"/>
    <w:uiPriority w:val="99"/>
    <w:rsid w:val="004D67C9"/>
    <w:rPr>
      <w:rFonts w:cs="Times New Roman"/>
    </w:rPr>
  </w:style>
  <w:style w:type="paragraph" w:styleId="20">
    <w:name w:val="toc 2"/>
    <w:basedOn w:val="a"/>
    <w:next w:val="a"/>
    <w:autoRedefine/>
    <w:uiPriority w:val="39"/>
    <w:rsid w:val="00546BEA"/>
    <w:pPr>
      <w:spacing w:after="100"/>
      <w:ind w:left="220"/>
    </w:pPr>
  </w:style>
  <w:style w:type="character" w:styleId="-0">
    <w:name w:val="FollowedHyperlink"/>
    <w:basedOn w:val="a0"/>
    <w:uiPriority w:val="99"/>
    <w:semiHidden/>
    <w:rsid w:val="00DB0E87"/>
    <w:rPr>
      <w:rFonts w:cs="Times New Roman"/>
      <w:color w:val="800080"/>
      <w:u w:val="single"/>
    </w:rPr>
  </w:style>
  <w:style w:type="character" w:styleId="ad">
    <w:name w:val="annotation reference"/>
    <w:basedOn w:val="a0"/>
    <w:uiPriority w:val="99"/>
    <w:semiHidden/>
    <w:rsid w:val="00D03975"/>
    <w:rPr>
      <w:rFonts w:cs="Times New Roman"/>
      <w:sz w:val="16"/>
      <w:szCs w:val="16"/>
    </w:rPr>
  </w:style>
  <w:style w:type="paragraph" w:styleId="ae">
    <w:name w:val="annotation text"/>
    <w:basedOn w:val="a"/>
    <w:link w:val="Char4"/>
    <w:uiPriority w:val="99"/>
    <w:semiHidden/>
    <w:rsid w:val="00D03975"/>
    <w:rPr>
      <w:sz w:val="20"/>
      <w:szCs w:val="20"/>
    </w:rPr>
  </w:style>
  <w:style w:type="character" w:customStyle="1" w:styleId="Char4">
    <w:name w:val="Κείμενο σχολίου Char"/>
    <w:basedOn w:val="a0"/>
    <w:link w:val="ae"/>
    <w:uiPriority w:val="99"/>
    <w:semiHidden/>
    <w:locked/>
    <w:rsid w:val="00615367"/>
    <w:rPr>
      <w:rFonts w:eastAsia="Times New Roman" w:cs="Times New Roman"/>
      <w:sz w:val="20"/>
      <w:szCs w:val="20"/>
      <w:lang w:val="el-GR" w:eastAsia="el-GR"/>
    </w:rPr>
  </w:style>
  <w:style w:type="paragraph" w:styleId="af">
    <w:name w:val="annotation subject"/>
    <w:basedOn w:val="ae"/>
    <w:next w:val="ae"/>
    <w:link w:val="Char5"/>
    <w:uiPriority w:val="99"/>
    <w:semiHidden/>
    <w:rsid w:val="00D03975"/>
    <w:rPr>
      <w:b/>
      <w:bCs/>
    </w:rPr>
  </w:style>
  <w:style w:type="character" w:customStyle="1" w:styleId="Char5">
    <w:name w:val="Θέμα σχολίου Char"/>
    <w:basedOn w:val="Char4"/>
    <w:link w:val="af"/>
    <w:uiPriority w:val="99"/>
    <w:semiHidden/>
    <w:locked/>
    <w:rsid w:val="00615367"/>
    <w:rPr>
      <w:rFonts w:eastAsia="Times New Roman" w:cs="Times New Roman"/>
      <w:b/>
      <w:bCs/>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reativecommons.org/licenses/by-nc-nd/3.0/" TargetMode="External"/><Relationship Id="rId18" Type="http://schemas.openxmlformats.org/officeDocument/2006/relationships/image" Target="media/image3.jpeg"/><Relationship Id="rId26" Type="http://schemas.openxmlformats.org/officeDocument/2006/relationships/hyperlink" Target="http://www2.ohchr.org/english/law/ccpr-one.htm" TargetMode="External"/><Relationship Id="rId3" Type="http://schemas.microsoft.com/office/2007/relationships/stylesWithEffects" Target="stylesWithEffects.xml"/><Relationship Id="rId21" Type="http://schemas.openxmlformats.org/officeDocument/2006/relationships/hyperlink" Target="http://www2.ohchr.org/english/law/cescr.htm" TargetMode="External"/><Relationship Id="rId7" Type="http://schemas.openxmlformats.org/officeDocument/2006/relationships/endnotes" Target="endnotes.xml"/><Relationship Id="rId12" Type="http://schemas.openxmlformats.org/officeDocument/2006/relationships/hyperlink" Target="http://creativecommons.org/licenses/by-nc-nd/3.0/" TargetMode="External"/><Relationship Id="rId17" Type="http://schemas.openxmlformats.org/officeDocument/2006/relationships/image" Target="media/image2.png"/><Relationship Id="rId25" Type="http://schemas.openxmlformats.org/officeDocument/2006/relationships/hyperlink" Target="http://www2.ohchr.org/english/law/cerd.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reativecommons.org/licenses/by-nc-nd/3.0/" TargetMode="External"/><Relationship Id="rId20" Type="http://schemas.openxmlformats.org/officeDocument/2006/relationships/hyperlink" Target="http://www2.ohchr.org/english/law/ccpr.htm" TargetMode="External"/><Relationship Id="rId29" Type="http://schemas.openxmlformats.org/officeDocument/2006/relationships/hyperlink" Target="http://www.icty.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eativecommons.org/licenses/by-nc-nd/3.0/" TargetMode="External"/><Relationship Id="rId24" Type="http://schemas.openxmlformats.org/officeDocument/2006/relationships/hyperlink" Target="http://www2.ohchr.org/english/law/crc.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reativecommons.org/licenses/by-nc-nd/3.0/" TargetMode="External"/><Relationship Id="rId23" Type="http://schemas.openxmlformats.org/officeDocument/2006/relationships/hyperlink" Target="http://www2.ohchr.org/english/law/cat.htm" TargetMode="External"/><Relationship Id="rId28" Type="http://schemas.openxmlformats.org/officeDocument/2006/relationships/hyperlink" Target="http://www.un.org/womenwatch/daw/cedaw/text/econvention.htm" TargetMode="External"/><Relationship Id="rId10" Type="http://schemas.openxmlformats.org/officeDocument/2006/relationships/hyperlink" Target="http://creativecommons.org/licenses/by-nc-nd/3.0/" TargetMode="External"/><Relationship Id="rId19" Type="http://schemas.openxmlformats.org/officeDocument/2006/relationships/hyperlink" Target="http://www2.ohchr.org/english/law/cerd.ht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reativecommons.org/licenses/by-nc-nd/3.0/" TargetMode="External"/><Relationship Id="rId22" Type="http://schemas.openxmlformats.org/officeDocument/2006/relationships/hyperlink" Target="http://www.un.org/womenwatch/daw/cedaw/text/econvention.htm" TargetMode="External"/><Relationship Id="rId27" Type="http://schemas.openxmlformats.org/officeDocument/2006/relationships/hyperlink" Target="http://www2.ohchr.org/english/law/cat.htm" TargetMode="External"/><Relationship Id="rId30" Type="http://schemas.openxmlformats.org/officeDocument/2006/relationships/hyperlink" Target="http://www.unict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2757</Words>
  <Characters>14888</Characters>
  <Application>Microsoft Office Word</Application>
  <DocSecurity>0</DocSecurity>
  <Lines>124</Lines>
  <Paragraphs>35</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Stevy</dc:creator>
  <cp:lastModifiedBy>pantelis</cp:lastModifiedBy>
  <cp:revision>3</cp:revision>
  <cp:lastPrinted>2013-05-20T16:38:00Z</cp:lastPrinted>
  <dcterms:created xsi:type="dcterms:W3CDTF">2013-03-05T21:44:00Z</dcterms:created>
  <dcterms:modified xsi:type="dcterms:W3CDTF">2013-05-20T16:44:00Z</dcterms:modified>
</cp:coreProperties>
</file>