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9D" w:rsidRDefault="00B05ACF" w:rsidP="004D67C9">
      <w:pPr>
        <w:pStyle w:val="MainTitle"/>
        <w:rPr>
          <w:rFonts w:ascii="Verdana" w:hAnsi="Verdana"/>
          <w:lang w:val="en-US"/>
        </w:rPr>
      </w:pPr>
      <w:r>
        <w:rPr>
          <w:rFonts w:ascii="Verdana" w:hAnsi="Verdana"/>
          <w:noProof/>
          <w:lang w:val="de-AT" w:eastAsia="de-AT"/>
        </w:rPr>
        <w:drawing>
          <wp:inline distT="0" distB="0" distL="0" distR="0">
            <wp:extent cx="5252720" cy="2541270"/>
            <wp:effectExtent l="0" t="0" r="0" b="0"/>
            <wp:docPr id="1" name="Picture 0"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720" cy="2541270"/>
                    </a:xfrm>
                    <a:prstGeom prst="rect">
                      <a:avLst/>
                    </a:prstGeom>
                    <a:noFill/>
                    <a:ln>
                      <a:noFill/>
                    </a:ln>
                  </pic:spPr>
                </pic:pic>
              </a:graphicData>
            </a:graphic>
          </wp:inline>
        </w:drawing>
      </w:r>
    </w:p>
    <w:p w:rsidR="0034169D" w:rsidRDefault="0034169D" w:rsidP="004D67C9">
      <w:pPr>
        <w:pStyle w:val="MainTitle"/>
        <w:rPr>
          <w:rFonts w:ascii="Verdana" w:hAnsi="Verdana"/>
          <w:lang w:val="en-US"/>
        </w:rPr>
      </w:pPr>
    </w:p>
    <w:p w:rsidR="0034169D" w:rsidRDefault="0034169D" w:rsidP="004D67C9">
      <w:pPr>
        <w:pStyle w:val="MainTitle"/>
        <w:rPr>
          <w:rFonts w:ascii="Verdana" w:hAnsi="Verdana"/>
          <w:sz w:val="44"/>
          <w:lang w:val="en-US"/>
        </w:rPr>
      </w:pPr>
    </w:p>
    <w:p w:rsidR="0034169D" w:rsidRDefault="0034169D" w:rsidP="004D67C9">
      <w:pPr>
        <w:pStyle w:val="MainTitle"/>
        <w:rPr>
          <w:rFonts w:ascii="Verdana" w:hAnsi="Verdana"/>
          <w:sz w:val="44"/>
          <w:lang w:val="en-US"/>
        </w:rPr>
      </w:pPr>
    </w:p>
    <w:p w:rsidR="0034169D" w:rsidRDefault="0034169D" w:rsidP="004D67C9">
      <w:pPr>
        <w:pStyle w:val="MainTitle"/>
        <w:rPr>
          <w:rFonts w:ascii="Verdana" w:hAnsi="Verdana"/>
          <w:color w:val="000000"/>
          <w:sz w:val="52"/>
          <w:lang w:val="en-US"/>
        </w:rPr>
      </w:pPr>
      <w:r>
        <w:rPr>
          <w:rFonts w:ascii="Calibri" w:hAnsi="Calibri" w:cs="Calibri"/>
          <w:color w:val="82A9D1"/>
          <w:spacing w:val="0"/>
          <w:sz w:val="44"/>
          <w:szCs w:val="44"/>
          <w:lang w:val="en-US"/>
        </w:rPr>
        <w:t>International Mechanisms and Procedures for Human Rights Monitoring</w:t>
      </w:r>
    </w:p>
    <w:p w:rsidR="0034169D" w:rsidRDefault="0034169D" w:rsidP="004D67C9">
      <w:pPr>
        <w:pStyle w:val="MainTitle"/>
        <w:rPr>
          <w:rFonts w:ascii="Verdana" w:hAnsi="Verdana"/>
          <w:color w:val="000000"/>
          <w:sz w:val="52"/>
          <w:lang w:val="en-US"/>
        </w:rPr>
      </w:pPr>
    </w:p>
    <w:p w:rsidR="0034169D" w:rsidRPr="00564BC7" w:rsidRDefault="00564BC7" w:rsidP="00564BC7">
      <w:pPr>
        <w:pStyle w:val="Untertitel"/>
        <w:jc w:val="center"/>
        <w:rPr>
          <w:rFonts w:asciiTheme="minorHAnsi" w:hAnsiTheme="minorHAnsi" w:cstheme="minorHAnsi"/>
          <w:b/>
          <w:i w:val="0"/>
          <w:color w:val="B8CCE4" w:themeColor="accent1" w:themeTint="66"/>
          <w:sz w:val="28"/>
          <w:szCs w:val="28"/>
          <w:lang w:val="en-US"/>
        </w:rPr>
      </w:pPr>
      <w:r w:rsidRPr="00564BC7">
        <w:rPr>
          <w:rFonts w:asciiTheme="minorHAnsi" w:hAnsiTheme="minorHAnsi" w:cstheme="minorHAnsi"/>
          <w:b/>
          <w:i w:val="0"/>
          <w:color w:val="B8CCE4" w:themeColor="accent1" w:themeTint="66"/>
          <w:sz w:val="28"/>
          <w:szCs w:val="28"/>
          <w:lang w:val="en-US"/>
        </w:rPr>
        <w:t>Catholic University Leuven</w:t>
      </w:r>
    </w:p>
    <w:p w:rsidR="0034169D" w:rsidRDefault="0034169D" w:rsidP="004D67C9">
      <w:pPr>
        <w:pStyle w:val="MainTitle"/>
        <w:rPr>
          <w:rFonts w:ascii="Verdana" w:hAnsi="Verdana"/>
          <w:color w:val="000000"/>
          <w:sz w:val="52"/>
          <w:lang w:val="en-US"/>
        </w:rPr>
      </w:pPr>
    </w:p>
    <w:p w:rsidR="0034169D" w:rsidRDefault="0034169D" w:rsidP="004D67C9">
      <w:pPr>
        <w:pStyle w:val="MainTitle"/>
        <w:rPr>
          <w:rFonts w:ascii="Verdana" w:hAnsi="Verdana"/>
          <w:color w:val="000000"/>
          <w:sz w:val="52"/>
          <w:lang w:val="en-US"/>
        </w:rPr>
      </w:pPr>
    </w:p>
    <w:p w:rsidR="0034169D" w:rsidRDefault="0034169D" w:rsidP="004D67C9">
      <w:pPr>
        <w:spacing w:before="0" w:after="0" w:line="240" w:lineRule="auto"/>
        <w:rPr>
          <w:rFonts w:ascii="Verdana" w:hAnsi="Verdana"/>
          <w:color w:val="000000"/>
          <w:sz w:val="52"/>
          <w:lang w:val="en-US"/>
        </w:rPr>
        <w:sectPr w:rsidR="0034169D" w:rsidSect="005A6499">
          <w:footerReference w:type="default" r:id="rId9"/>
          <w:pgSz w:w="11906" w:h="16838"/>
          <w:pgMar w:top="1438" w:right="1134" w:bottom="1797" w:left="1134" w:header="709" w:footer="709" w:gutter="0"/>
          <w:cols w:space="708"/>
          <w:titlePg/>
          <w:docGrid w:linePitch="360"/>
        </w:sectPr>
      </w:pPr>
    </w:p>
    <w:p w:rsidR="0034169D" w:rsidRPr="00BB3FBE" w:rsidRDefault="0034169D" w:rsidP="000A3099">
      <w:pPr>
        <w:pStyle w:val="MainTitle"/>
        <w:rPr>
          <w:rFonts w:ascii="Calibri" w:hAnsi="Calibri" w:cs="Calibri"/>
          <w:b w:val="0"/>
          <w:color w:val="D9D9D9"/>
          <w:sz w:val="36"/>
          <w:lang w:val="en-US"/>
        </w:rPr>
      </w:pPr>
      <w:r w:rsidRPr="00BB3FBE">
        <w:rPr>
          <w:rFonts w:ascii="Calibri" w:hAnsi="Calibri" w:cs="Calibri"/>
          <w:b w:val="0"/>
          <w:color w:val="D9D9D9"/>
          <w:sz w:val="36"/>
          <w:lang w:val="en-US"/>
        </w:rPr>
        <w:lastRenderedPageBreak/>
        <w:t>[</w:t>
      </w:r>
      <w:proofErr w:type="gramStart"/>
      <w:r w:rsidRPr="00BB3FBE">
        <w:rPr>
          <w:rFonts w:ascii="Calibri" w:hAnsi="Calibri" w:cs="Calibri"/>
          <w:b w:val="0"/>
          <w:color w:val="D9D9D9"/>
          <w:sz w:val="36"/>
          <w:lang w:val="en-US"/>
        </w:rPr>
        <w:t>page</w:t>
      </w:r>
      <w:proofErr w:type="gramEnd"/>
      <w:r w:rsidRPr="00BB3FBE">
        <w:rPr>
          <w:rFonts w:ascii="Calibri" w:hAnsi="Calibri" w:cs="Calibri"/>
          <w:b w:val="0"/>
          <w:color w:val="D9D9D9"/>
          <w:sz w:val="36"/>
          <w:lang w:val="en-US"/>
        </w:rPr>
        <w:t xml:space="preserve"> left blank on purpose]</w:t>
      </w:r>
    </w:p>
    <w:p w:rsidR="0034169D" w:rsidRDefault="0034169D" w:rsidP="000A3099">
      <w:pPr>
        <w:pStyle w:val="MainTitle"/>
        <w:rPr>
          <w:lang w:val="en-US"/>
        </w:rPr>
      </w:pPr>
      <w:r>
        <w:rPr>
          <w:lang w:val="en-US"/>
        </w:rPr>
        <w:br w:type="page"/>
      </w:r>
    </w:p>
    <w:p w:rsidR="0034169D" w:rsidRDefault="0034169D" w:rsidP="000A3099">
      <w:pPr>
        <w:pStyle w:val="MainTitle"/>
        <w:rPr>
          <w:sz w:val="20"/>
          <w:szCs w:val="20"/>
          <w:lang w:val="en-US"/>
        </w:rPr>
      </w:pPr>
    </w:p>
    <w:p w:rsidR="0034169D" w:rsidRPr="005816B9" w:rsidRDefault="0034169D" w:rsidP="004D67C9">
      <w:pPr>
        <w:jc w:val="center"/>
        <w:rPr>
          <w:sz w:val="20"/>
          <w:szCs w:val="20"/>
          <w:lang w:val="en-US"/>
        </w:rPr>
      </w:pPr>
      <w:r w:rsidRPr="005816B9">
        <w:rPr>
          <w:sz w:val="20"/>
          <w:szCs w:val="20"/>
          <w:lang w:val="en-US"/>
        </w:rPr>
        <w:t xml:space="preserve">This work is licensed under a </w:t>
      </w:r>
    </w:p>
    <w:p w:rsidR="0034169D" w:rsidRPr="005816B9" w:rsidRDefault="00564BC7" w:rsidP="004D67C9">
      <w:pPr>
        <w:jc w:val="center"/>
        <w:rPr>
          <w:sz w:val="20"/>
          <w:szCs w:val="20"/>
          <w:lang w:val="en-US"/>
        </w:rPr>
      </w:pPr>
      <w:hyperlink r:id="rId10" w:history="1">
        <w:r w:rsidR="0034169D" w:rsidRPr="005816B9">
          <w:rPr>
            <w:rStyle w:val="Hyperlink"/>
            <w:sz w:val="20"/>
            <w:szCs w:val="20"/>
            <w:lang w:val="en-US"/>
          </w:rPr>
          <w:t>Creative Commons Attribution-</w:t>
        </w:r>
        <w:proofErr w:type="spellStart"/>
      </w:hyperlink>
      <w:hyperlink r:id="rId11" w:history="1">
        <w:r w:rsidR="0034169D" w:rsidRPr="005816B9">
          <w:rPr>
            <w:rStyle w:val="Hyperlink"/>
            <w:sz w:val="20"/>
            <w:szCs w:val="20"/>
            <w:lang w:val="en-US"/>
          </w:rPr>
          <w:t>NonCommercial</w:t>
        </w:r>
        <w:proofErr w:type="spellEnd"/>
      </w:hyperlink>
      <w:hyperlink r:id="rId12" w:history="1">
        <w:r w:rsidR="0034169D" w:rsidRPr="005816B9">
          <w:rPr>
            <w:rStyle w:val="Hyperlink"/>
            <w:sz w:val="20"/>
            <w:szCs w:val="20"/>
            <w:lang w:val="en-US"/>
          </w:rPr>
          <w:t>-</w:t>
        </w:r>
        <w:proofErr w:type="spellStart"/>
      </w:hyperlink>
      <w:hyperlink r:id="rId13" w:history="1">
        <w:r w:rsidR="0034169D" w:rsidRPr="005816B9">
          <w:rPr>
            <w:rStyle w:val="Hyperlink"/>
            <w:sz w:val="20"/>
            <w:szCs w:val="20"/>
            <w:lang w:val="en-US"/>
          </w:rPr>
          <w:t>NoDerivs</w:t>
        </w:r>
        <w:proofErr w:type="spellEnd"/>
      </w:hyperlink>
      <w:hyperlink r:id="rId14" w:history="1">
        <w:r w:rsidR="0034169D" w:rsidRPr="005816B9">
          <w:rPr>
            <w:rStyle w:val="Hyperlink"/>
            <w:sz w:val="20"/>
            <w:szCs w:val="20"/>
            <w:lang w:val="en-US"/>
          </w:rPr>
          <w:t xml:space="preserve"> 3.0 </w:t>
        </w:r>
      </w:hyperlink>
      <w:hyperlink r:id="rId15" w:history="1">
        <w:proofErr w:type="spellStart"/>
        <w:r w:rsidR="0034169D" w:rsidRPr="005816B9">
          <w:rPr>
            <w:rStyle w:val="Hyperlink"/>
            <w:sz w:val="20"/>
            <w:szCs w:val="20"/>
            <w:lang w:val="en-US"/>
          </w:rPr>
          <w:t>Unported</w:t>
        </w:r>
        <w:proofErr w:type="spellEnd"/>
      </w:hyperlink>
      <w:hyperlink r:id="rId16" w:history="1">
        <w:r w:rsidR="0034169D" w:rsidRPr="005816B9">
          <w:rPr>
            <w:rStyle w:val="Hyperlink"/>
            <w:sz w:val="20"/>
            <w:szCs w:val="20"/>
            <w:lang w:val="en-US"/>
          </w:rPr>
          <w:t xml:space="preserve"> License</w:t>
        </w:r>
      </w:hyperlink>
      <w:r w:rsidR="0034169D" w:rsidRPr="005816B9">
        <w:rPr>
          <w:sz w:val="20"/>
          <w:szCs w:val="20"/>
          <w:lang w:val="en-US"/>
        </w:rPr>
        <w:t>.</w:t>
      </w:r>
    </w:p>
    <w:p w:rsidR="0034169D" w:rsidRPr="00D66FAF" w:rsidRDefault="00B05ACF" w:rsidP="004D67C9">
      <w:pPr>
        <w:jc w:val="center"/>
        <w:rPr>
          <w:highlight w:val="yellow"/>
        </w:rPr>
      </w:pPr>
      <w:r>
        <w:rPr>
          <w:noProof/>
          <w:lang w:val="de-AT" w:eastAsia="de-AT"/>
        </w:rPr>
        <w:drawing>
          <wp:inline distT="0" distB="0" distL="0" distR="0">
            <wp:extent cx="1499235" cy="520700"/>
            <wp:effectExtent l="0" t="0" r="5715" b="0"/>
            <wp:docPr id="2" name="Picture 15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9235" cy="520700"/>
                    </a:xfrm>
                    <a:prstGeom prst="rect">
                      <a:avLst/>
                    </a:prstGeom>
                    <a:noFill/>
                    <a:ln>
                      <a:noFill/>
                    </a:ln>
                  </pic:spPr>
                </pic:pic>
              </a:graphicData>
            </a:graphic>
          </wp:inline>
        </w:drawing>
      </w:r>
    </w:p>
    <w:p w:rsidR="0034169D" w:rsidRPr="005816B9" w:rsidRDefault="0034169D" w:rsidP="004D67C9">
      <w:pPr>
        <w:jc w:val="center"/>
        <w:rPr>
          <w:i/>
          <w:iCs/>
          <w:sz w:val="18"/>
          <w:szCs w:val="18"/>
          <w:lang w:val="en-US"/>
        </w:rPr>
      </w:pPr>
    </w:p>
    <w:p w:rsidR="0034169D" w:rsidRPr="005816B9" w:rsidRDefault="0034169D" w:rsidP="004D67C9">
      <w:pPr>
        <w:jc w:val="center"/>
        <w:rPr>
          <w:sz w:val="20"/>
          <w:szCs w:val="20"/>
          <w:lang w:val="en-US"/>
        </w:rPr>
      </w:pPr>
      <w:r w:rsidRPr="005816B9">
        <w:rPr>
          <w:i/>
          <w:iCs/>
          <w:sz w:val="20"/>
          <w:szCs w:val="20"/>
          <w:lang w:val="en-US"/>
        </w:rPr>
        <w:t>This project has been funded with support from the European Commission. This communication reflects the views only of the author(s), and the Commission cannot be held responsible for any use which may be made of the information contained therein.</w:t>
      </w:r>
    </w:p>
    <w:p w:rsidR="0034169D" w:rsidRDefault="00B05ACF" w:rsidP="004D67C9">
      <w:pPr>
        <w:rPr>
          <w:lang w:val="en-US"/>
        </w:rPr>
      </w:pPr>
      <w:r>
        <w:rPr>
          <w:noProof/>
          <w:lang w:val="de-AT" w:eastAsia="de-AT"/>
        </w:rPr>
        <w:drawing>
          <wp:anchor distT="0" distB="0" distL="114300" distR="114300" simplePos="0" relativeHeight="251657728" behindDoc="1" locked="0" layoutInCell="1" allowOverlap="1">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3" name="Picture 156"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LP logo engli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pic:spPr>
                </pic:pic>
              </a:graphicData>
            </a:graphic>
            <wp14:sizeRelH relativeFrom="page">
              <wp14:pctWidth>0</wp14:pctWidth>
            </wp14:sizeRelH>
            <wp14:sizeRelV relativeFrom="page">
              <wp14:pctHeight>0</wp14:pctHeight>
            </wp14:sizeRelV>
          </wp:anchor>
        </w:drawing>
      </w:r>
    </w:p>
    <w:p w:rsidR="0034169D" w:rsidRDefault="0034169D" w:rsidP="004D67C9">
      <w:pPr>
        <w:rPr>
          <w:lang w:val="en-US"/>
        </w:rPr>
      </w:pPr>
    </w:p>
    <w:p w:rsidR="0034169D" w:rsidRDefault="0034169D" w:rsidP="004D67C9">
      <w:pPr>
        <w:rPr>
          <w:lang w:val="en-US"/>
        </w:rPr>
      </w:pPr>
    </w:p>
    <w:p w:rsidR="0034169D" w:rsidRPr="00F11535" w:rsidRDefault="0034169D" w:rsidP="004D67C9">
      <w:pPr>
        <w:pStyle w:val="MainTitle"/>
        <w:rPr>
          <w:rFonts w:ascii="Calibri" w:hAnsi="Calibri" w:cs="Calibri"/>
          <w:b w:val="0"/>
          <w:color w:val="D9D9D9"/>
          <w:sz w:val="36"/>
          <w:lang w:val="en-US"/>
        </w:rPr>
      </w:pPr>
      <w:r>
        <w:rPr>
          <w:rFonts w:ascii="Calibri" w:hAnsi="Calibri" w:cs="Calibri"/>
          <w:b w:val="0"/>
          <w:color w:val="D9D9D9"/>
          <w:sz w:val="36"/>
          <w:lang w:val="en-US"/>
        </w:rPr>
        <w:br w:type="page"/>
      </w:r>
      <w:r w:rsidRPr="00F11535">
        <w:rPr>
          <w:rFonts w:ascii="Calibri" w:hAnsi="Calibri" w:cs="Calibri"/>
          <w:b w:val="0"/>
          <w:color w:val="D9D9D9"/>
          <w:sz w:val="36"/>
          <w:lang w:val="en-US"/>
        </w:rPr>
        <w:t>[</w:t>
      </w:r>
      <w:proofErr w:type="gramStart"/>
      <w:r>
        <w:rPr>
          <w:rFonts w:ascii="Calibri" w:hAnsi="Calibri" w:cs="Calibri"/>
          <w:b w:val="0"/>
          <w:color w:val="D9D9D9"/>
          <w:sz w:val="36"/>
          <w:lang w:val="en-US"/>
        </w:rPr>
        <w:t>page</w:t>
      </w:r>
      <w:proofErr w:type="gramEnd"/>
      <w:r>
        <w:rPr>
          <w:rFonts w:ascii="Calibri" w:hAnsi="Calibri" w:cs="Calibri"/>
          <w:b w:val="0"/>
          <w:color w:val="D9D9D9"/>
          <w:sz w:val="36"/>
          <w:lang w:val="en-US"/>
        </w:rPr>
        <w:t xml:space="preserve"> </w:t>
      </w:r>
      <w:r w:rsidRPr="00F11535">
        <w:rPr>
          <w:rFonts w:ascii="Calibri" w:hAnsi="Calibri" w:cs="Calibri"/>
          <w:b w:val="0"/>
          <w:color w:val="D9D9D9"/>
          <w:sz w:val="36"/>
          <w:lang w:val="en-US"/>
        </w:rPr>
        <w:t>left blank on purpose]</w:t>
      </w:r>
    </w:p>
    <w:p w:rsidR="0034169D" w:rsidRDefault="0034169D" w:rsidP="004D67C9">
      <w:pPr>
        <w:spacing w:before="0" w:after="0" w:line="240" w:lineRule="auto"/>
        <w:rPr>
          <w:rFonts w:ascii="Verdana" w:hAnsi="Verdana"/>
          <w:color w:val="000000"/>
          <w:sz w:val="52"/>
          <w:lang w:val="en-US"/>
        </w:rPr>
      </w:pPr>
    </w:p>
    <w:p w:rsidR="0034169D" w:rsidRDefault="0034169D" w:rsidP="004D67C9">
      <w:pPr>
        <w:spacing w:before="0" w:after="0" w:line="240" w:lineRule="auto"/>
        <w:rPr>
          <w:b/>
          <w:lang w:val="en-US"/>
        </w:rPr>
      </w:pPr>
      <w:r>
        <w:rPr>
          <w:rFonts w:ascii="Verdana" w:hAnsi="Verdana"/>
          <w:color w:val="000000"/>
          <w:sz w:val="52"/>
          <w:lang w:val="en-US"/>
        </w:rPr>
        <w:br w:type="page"/>
      </w:r>
    </w:p>
    <w:p w:rsidR="0034169D" w:rsidRPr="00661AF5" w:rsidRDefault="0034169D" w:rsidP="004D67C9">
      <w:pPr>
        <w:pStyle w:val="StyleTitleTOC"/>
        <w:rPr>
          <w:lang w:val="en-US"/>
        </w:rPr>
      </w:pPr>
      <w:r>
        <w:rPr>
          <w:lang w:val="en-US"/>
        </w:rPr>
        <w:t>TABLE OF CONTENT</w:t>
      </w:r>
    </w:p>
    <w:p w:rsidR="0034169D" w:rsidRPr="006E686D" w:rsidRDefault="0034169D" w:rsidP="004D67C9"/>
    <w:p w:rsidR="0034169D" w:rsidRDefault="00E4616F">
      <w:pPr>
        <w:pStyle w:val="Verzeichnis1"/>
        <w:tabs>
          <w:tab w:val="right" w:leader="dot" w:pos="9628"/>
        </w:tabs>
        <w:rPr>
          <w:rFonts w:ascii="Calibri" w:hAnsi="Calibri"/>
          <w:b w:val="0"/>
          <w:bCs w:val="0"/>
          <w:noProof/>
          <w:color w:val="auto"/>
          <w:szCs w:val="22"/>
          <w:lang w:val="en-US" w:eastAsia="en-US"/>
        </w:rPr>
      </w:pPr>
      <w:r w:rsidRPr="006E686D">
        <w:rPr>
          <w:rFonts w:ascii="Verdana" w:hAnsi="Verdana"/>
          <w:color w:val="auto"/>
          <w:lang w:val="en-US"/>
        </w:rPr>
        <w:fldChar w:fldCharType="begin"/>
      </w:r>
      <w:r w:rsidR="0034169D" w:rsidRPr="006E686D">
        <w:rPr>
          <w:rFonts w:ascii="Verdana" w:hAnsi="Verdana"/>
          <w:color w:val="auto"/>
          <w:lang w:val="en-US"/>
        </w:rPr>
        <w:instrText xml:space="preserve"> TOC \o "1-3" \h \z \u </w:instrText>
      </w:r>
      <w:r w:rsidRPr="006E686D">
        <w:rPr>
          <w:rFonts w:ascii="Verdana" w:hAnsi="Verdana"/>
          <w:color w:val="auto"/>
          <w:lang w:val="en-US"/>
        </w:rPr>
        <w:fldChar w:fldCharType="separate"/>
      </w:r>
      <w:hyperlink w:anchor="_Toc324840129" w:history="1">
        <w:r w:rsidR="0034169D" w:rsidRPr="00E64E14">
          <w:rPr>
            <w:rStyle w:val="Hyperlink"/>
            <w:noProof/>
          </w:rPr>
          <w:t>1. Introduction</w:t>
        </w:r>
        <w:r w:rsidR="0034169D">
          <w:rPr>
            <w:noProof/>
            <w:webHidden/>
          </w:rPr>
          <w:tab/>
        </w:r>
        <w:r>
          <w:rPr>
            <w:noProof/>
            <w:webHidden/>
          </w:rPr>
          <w:fldChar w:fldCharType="begin"/>
        </w:r>
        <w:r w:rsidR="0034169D">
          <w:rPr>
            <w:noProof/>
            <w:webHidden/>
          </w:rPr>
          <w:instrText xml:space="preserve"> PAGEREF _Toc324840129 \h </w:instrText>
        </w:r>
        <w:r>
          <w:rPr>
            <w:noProof/>
            <w:webHidden/>
          </w:rPr>
        </w:r>
        <w:r>
          <w:rPr>
            <w:noProof/>
            <w:webHidden/>
          </w:rPr>
          <w:fldChar w:fldCharType="separate"/>
        </w:r>
        <w:r w:rsidR="0034169D">
          <w:rPr>
            <w:noProof/>
            <w:webHidden/>
          </w:rPr>
          <w:t>6</w:t>
        </w:r>
        <w:r>
          <w:rPr>
            <w:noProof/>
            <w:webHidden/>
          </w:rPr>
          <w:fldChar w:fldCharType="end"/>
        </w:r>
      </w:hyperlink>
    </w:p>
    <w:p w:rsidR="0034169D" w:rsidRDefault="00564BC7">
      <w:pPr>
        <w:pStyle w:val="Verzeichnis1"/>
        <w:tabs>
          <w:tab w:val="right" w:leader="dot" w:pos="9628"/>
        </w:tabs>
        <w:rPr>
          <w:rFonts w:ascii="Calibri" w:hAnsi="Calibri"/>
          <w:b w:val="0"/>
          <w:bCs w:val="0"/>
          <w:noProof/>
          <w:color w:val="auto"/>
          <w:szCs w:val="22"/>
          <w:lang w:val="en-US" w:eastAsia="en-US"/>
        </w:rPr>
      </w:pPr>
      <w:hyperlink w:anchor="_Toc324840130" w:history="1">
        <w:r w:rsidR="0034169D" w:rsidRPr="00E64E14">
          <w:rPr>
            <w:rStyle w:val="Hyperlink"/>
            <w:noProof/>
          </w:rPr>
          <w:t xml:space="preserve">2. The protection of </w:t>
        </w:r>
        <w:r w:rsidR="0034169D">
          <w:rPr>
            <w:rStyle w:val="Hyperlink"/>
            <w:noProof/>
            <w:lang w:val="de-DE"/>
          </w:rPr>
          <w:t>h</w:t>
        </w:r>
        <w:r w:rsidR="0034169D" w:rsidRPr="00E64E14">
          <w:rPr>
            <w:rStyle w:val="Hyperlink"/>
            <w:noProof/>
          </w:rPr>
          <w:t xml:space="preserve">uman </w:t>
        </w:r>
        <w:r w:rsidR="0034169D">
          <w:rPr>
            <w:rStyle w:val="Hyperlink"/>
            <w:noProof/>
            <w:lang w:val="de-DE"/>
          </w:rPr>
          <w:t>r</w:t>
        </w:r>
        <w:r w:rsidR="0034169D" w:rsidRPr="00E64E14">
          <w:rPr>
            <w:rStyle w:val="Hyperlink"/>
            <w:noProof/>
          </w:rPr>
          <w:t xml:space="preserve">ights through international </w:t>
        </w:r>
        <w:r w:rsidR="0034169D">
          <w:rPr>
            <w:rStyle w:val="Hyperlink"/>
            <w:noProof/>
            <w:lang w:val="nl-BE"/>
          </w:rPr>
          <w:t>monitoring</w:t>
        </w:r>
        <w:r w:rsidR="0034169D">
          <w:rPr>
            <w:noProof/>
            <w:webHidden/>
          </w:rPr>
          <w:tab/>
        </w:r>
        <w:r w:rsidR="00E4616F">
          <w:rPr>
            <w:noProof/>
            <w:webHidden/>
          </w:rPr>
          <w:fldChar w:fldCharType="begin"/>
        </w:r>
        <w:r w:rsidR="0034169D">
          <w:rPr>
            <w:noProof/>
            <w:webHidden/>
          </w:rPr>
          <w:instrText xml:space="preserve"> PAGEREF _Toc324840130 \h </w:instrText>
        </w:r>
        <w:r w:rsidR="00E4616F">
          <w:rPr>
            <w:noProof/>
            <w:webHidden/>
          </w:rPr>
        </w:r>
        <w:r w:rsidR="00E4616F">
          <w:rPr>
            <w:noProof/>
            <w:webHidden/>
          </w:rPr>
          <w:fldChar w:fldCharType="separate"/>
        </w:r>
        <w:r w:rsidR="0034169D">
          <w:rPr>
            <w:noProof/>
            <w:webHidden/>
          </w:rPr>
          <w:t>6</w:t>
        </w:r>
        <w:r w:rsidR="00E4616F">
          <w:rPr>
            <w:noProof/>
            <w:webHidden/>
          </w:rPr>
          <w:fldChar w:fldCharType="end"/>
        </w:r>
      </w:hyperlink>
    </w:p>
    <w:p w:rsidR="0034169D" w:rsidRDefault="00564BC7">
      <w:pPr>
        <w:pStyle w:val="Verzeichnis1"/>
        <w:tabs>
          <w:tab w:val="right" w:leader="dot" w:pos="9628"/>
        </w:tabs>
        <w:rPr>
          <w:rFonts w:ascii="Calibri" w:hAnsi="Calibri"/>
          <w:b w:val="0"/>
          <w:bCs w:val="0"/>
          <w:noProof/>
          <w:color w:val="auto"/>
          <w:szCs w:val="22"/>
          <w:lang w:val="en-US" w:eastAsia="en-US"/>
        </w:rPr>
      </w:pPr>
      <w:hyperlink w:anchor="_Toc324840131" w:history="1">
        <w:r w:rsidR="0034169D" w:rsidRPr="00E64E14">
          <w:rPr>
            <w:rStyle w:val="Hyperlink"/>
            <w:noProof/>
            <w:lang w:val="en-US"/>
          </w:rPr>
          <w:t xml:space="preserve">3. </w:t>
        </w:r>
        <w:r w:rsidR="0034169D" w:rsidRPr="00E64E14">
          <w:rPr>
            <w:rStyle w:val="Hyperlink"/>
            <w:noProof/>
          </w:rPr>
          <w:t xml:space="preserve">Overview of the most important international </w:t>
        </w:r>
        <w:r w:rsidR="0034169D">
          <w:rPr>
            <w:rStyle w:val="Hyperlink"/>
            <w:noProof/>
            <w:lang w:val="nl-BE"/>
          </w:rPr>
          <w:t>procedures</w:t>
        </w:r>
        <w:r w:rsidR="0034169D">
          <w:rPr>
            <w:noProof/>
            <w:webHidden/>
          </w:rPr>
          <w:tab/>
        </w:r>
        <w:r w:rsidR="00E4616F">
          <w:rPr>
            <w:noProof/>
            <w:webHidden/>
          </w:rPr>
          <w:fldChar w:fldCharType="begin"/>
        </w:r>
        <w:r w:rsidR="0034169D">
          <w:rPr>
            <w:noProof/>
            <w:webHidden/>
          </w:rPr>
          <w:instrText xml:space="preserve"> PAGEREF _Toc324840131 \h </w:instrText>
        </w:r>
        <w:r w:rsidR="00E4616F">
          <w:rPr>
            <w:noProof/>
            <w:webHidden/>
          </w:rPr>
        </w:r>
        <w:r w:rsidR="00E4616F">
          <w:rPr>
            <w:noProof/>
            <w:webHidden/>
          </w:rPr>
          <w:fldChar w:fldCharType="separate"/>
        </w:r>
        <w:r w:rsidR="0034169D">
          <w:rPr>
            <w:noProof/>
            <w:webHidden/>
          </w:rPr>
          <w:t>7</w:t>
        </w:r>
        <w:r w:rsidR="00E4616F">
          <w:rPr>
            <w:noProof/>
            <w:webHidden/>
          </w:rPr>
          <w:fldChar w:fldCharType="end"/>
        </w:r>
      </w:hyperlink>
    </w:p>
    <w:p w:rsidR="0034169D" w:rsidRDefault="00564BC7">
      <w:pPr>
        <w:pStyle w:val="Verzeichnis2"/>
        <w:tabs>
          <w:tab w:val="right" w:leader="dot" w:pos="9628"/>
        </w:tabs>
        <w:rPr>
          <w:noProof/>
          <w:szCs w:val="22"/>
          <w:lang w:val="en-US" w:eastAsia="en-US"/>
        </w:rPr>
      </w:pPr>
      <w:hyperlink w:anchor="_Toc324840132" w:history="1">
        <w:r w:rsidR="0034169D" w:rsidRPr="00E64E14">
          <w:rPr>
            <w:rStyle w:val="Hyperlink"/>
            <w:noProof/>
            <w:lang w:val="en-US"/>
          </w:rPr>
          <w:t>3.1 Reporting Procedures</w:t>
        </w:r>
        <w:r w:rsidR="0034169D">
          <w:rPr>
            <w:noProof/>
            <w:webHidden/>
          </w:rPr>
          <w:tab/>
        </w:r>
        <w:r w:rsidR="00E4616F">
          <w:rPr>
            <w:noProof/>
            <w:webHidden/>
          </w:rPr>
          <w:fldChar w:fldCharType="begin"/>
        </w:r>
        <w:r w:rsidR="0034169D">
          <w:rPr>
            <w:noProof/>
            <w:webHidden/>
          </w:rPr>
          <w:instrText xml:space="preserve"> PAGEREF _Toc324840132 \h </w:instrText>
        </w:r>
        <w:r w:rsidR="00E4616F">
          <w:rPr>
            <w:noProof/>
            <w:webHidden/>
          </w:rPr>
        </w:r>
        <w:r w:rsidR="00E4616F">
          <w:rPr>
            <w:noProof/>
            <w:webHidden/>
          </w:rPr>
          <w:fldChar w:fldCharType="separate"/>
        </w:r>
        <w:r w:rsidR="0034169D">
          <w:rPr>
            <w:noProof/>
            <w:webHidden/>
          </w:rPr>
          <w:t>7</w:t>
        </w:r>
        <w:r w:rsidR="00E4616F">
          <w:rPr>
            <w:noProof/>
            <w:webHidden/>
          </w:rPr>
          <w:fldChar w:fldCharType="end"/>
        </w:r>
      </w:hyperlink>
    </w:p>
    <w:p w:rsidR="0034169D" w:rsidRDefault="00564BC7">
      <w:pPr>
        <w:pStyle w:val="Verzeichnis2"/>
        <w:tabs>
          <w:tab w:val="right" w:leader="dot" w:pos="9628"/>
        </w:tabs>
        <w:rPr>
          <w:noProof/>
          <w:szCs w:val="22"/>
          <w:lang w:val="en-US" w:eastAsia="en-US"/>
        </w:rPr>
      </w:pPr>
      <w:hyperlink w:anchor="_Toc324840133" w:history="1">
        <w:r w:rsidR="0034169D" w:rsidRPr="00E64E14">
          <w:rPr>
            <w:rStyle w:val="Hyperlink"/>
            <w:noProof/>
            <w:lang w:val="en-US"/>
          </w:rPr>
          <w:t>3.2 Complaint</w:t>
        </w:r>
        <w:r w:rsidR="0034169D">
          <w:rPr>
            <w:rStyle w:val="Hyperlink"/>
            <w:noProof/>
            <w:lang w:val="en-US"/>
          </w:rPr>
          <w:t>s</w:t>
        </w:r>
        <w:r w:rsidR="0034169D" w:rsidRPr="00E64E14">
          <w:rPr>
            <w:rStyle w:val="Hyperlink"/>
            <w:noProof/>
            <w:lang w:val="en-US"/>
          </w:rPr>
          <w:t xml:space="preserve"> Procedures</w:t>
        </w:r>
        <w:r w:rsidR="0034169D">
          <w:rPr>
            <w:noProof/>
            <w:webHidden/>
          </w:rPr>
          <w:tab/>
        </w:r>
        <w:r w:rsidR="00E4616F">
          <w:rPr>
            <w:noProof/>
            <w:webHidden/>
          </w:rPr>
          <w:fldChar w:fldCharType="begin"/>
        </w:r>
        <w:r w:rsidR="0034169D">
          <w:rPr>
            <w:noProof/>
            <w:webHidden/>
          </w:rPr>
          <w:instrText xml:space="preserve"> PAGEREF _Toc324840133 \h </w:instrText>
        </w:r>
        <w:r w:rsidR="00E4616F">
          <w:rPr>
            <w:noProof/>
            <w:webHidden/>
          </w:rPr>
        </w:r>
        <w:r w:rsidR="00E4616F">
          <w:rPr>
            <w:noProof/>
            <w:webHidden/>
          </w:rPr>
          <w:fldChar w:fldCharType="separate"/>
        </w:r>
        <w:r w:rsidR="0034169D">
          <w:rPr>
            <w:noProof/>
            <w:webHidden/>
          </w:rPr>
          <w:t>8</w:t>
        </w:r>
        <w:r w:rsidR="00E4616F">
          <w:rPr>
            <w:noProof/>
            <w:webHidden/>
          </w:rPr>
          <w:fldChar w:fldCharType="end"/>
        </w:r>
      </w:hyperlink>
    </w:p>
    <w:p w:rsidR="0034169D" w:rsidRPr="00634CBC" w:rsidRDefault="00564BC7">
      <w:pPr>
        <w:pStyle w:val="Verzeichnis2"/>
        <w:tabs>
          <w:tab w:val="right" w:leader="dot" w:pos="9628"/>
        </w:tabs>
        <w:rPr>
          <w:noProof/>
          <w:szCs w:val="22"/>
          <w:lang w:val="nl-BE" w:eastAsia="en-US"/>
        </w:rPr>
      </w:pPr>
      <w:hyperlink w:anchor="_Toc324840134" w:history="1">
        <w:r w:rsidR="0034169D" w:rsidRPr="00E64E14">
          <w:rPr>
            <w:rStyle w:val="Hyperlink"/>
            <w:noProof/>
            <w:lang w:val="en-US"/>
          </w:rPr>
          <w:t>3.3 Inquiry Procedures</w:t>
        </w:r>
        <w:r w:rsidR="0034169D">
          <w:rPr>
            <w:noProof/>
            <w:webHidden/>
          </w:rPr>
          <w:tab/>
        </w:r>
        <w:r w:rsidR="00E4616F">
          <w:rPr>
            <w:noProof/>
            <w:webHidden/>
          </w:rPr>
          <w:fldChar w:fldCharType="begin"/>
        </w:r>
        <w:r w:rsidR="0034169D">
          <w:rPr>
            <w:noProof/>
            <w:webHidden/>
          </w:rPr>
          <w:instrText xml:space="preserve"> PAGEREF _Toc324840134 \h </w:instrText>
        </w:r>
        <w:r w:rsidR="00E4616F">
          <w:rPr>
            <w:noProof/>
            <w:webHidden/>
          </w:rPr>
        </w:r>
        <w:r w:rsidR="00E4616F">
          <w:rPr>
            <w:noProof/>
            <w:webHidden/>
          </w:rPr>
          <w:fldChar w:fldCharType="separate"/>
        </w:r>
        <w:r w:rsidR="0034169D">
          <w:rPr>
            <w:noProof/>
            <w:webHidden/>
          </w:rPr>
          <w:t>9</w:t>
        </w:r>
        <w:r w:rsidR="00E4616F">
          <w:rPr>
            <w:noProof/>
            <w:webHidden/>
          </w:rPr>
          <w:fldChar w:fldCharType="end"/>
        </w:r>
      </w:hyperlink>
    </w:p>
    <w:p w:rsidR="0034169D" w:rsidRPr="00634CBC" w:rsidRDefault="00564BC7">
      <w:pPr>
        <w:pStyle w:val="Verzeichnis2"/>
        <w:tabs>
          <w:tab w:val="right" w:leader="dot" w:pos="9628"/>
        </w:tabs>
        <w:rPr>
          <w:noProof/>
          <w:szCs w:val="22"/>
          <w:lang w:val="nl-BE" w:eastAsia="en-US"/>
        </w:rPr>
      </w:pPr>
      <w:hyperlink w:anchor="_Toc324840135" w:history="1">
        <w:r w:rsidR="0034169D" w:rsidRPr="00E64E14">
          <w:rPr>
            <w:rStyle w:val="Hyperlink"/>
            <w:noProof/>
            <w:lang w:val="en-US"/>
          </w:rPr>
          <w:t>3.4 Other International Procedures</w:t>
        </w:r>
        <w:r w:rsidR="0034169D">
          <w:rPr>
            <w:noProof/>
            <w:webHidden/>
          </w:rPr>
          <w:tab/>
        </w:r>
        <w:r w:rsidR="00E4616F">
          <w:rPr>
            <w:noProof/>
            <w:webHidden/>
          </w:rPr>
          <w:fldChar w:fldCharType="begin"/>
        </w:r>
        <w:r w:rsidR="0034169D">
          <w:rPr>
            <w:noProof/>
            <w:webHidden/>
          </w:rPr>
          <w:instrText xml:space="preserve"> PAGEREF _Toc324840135 \h </w:instrText>
        </w:r>
        <w:r w:rsidR="00E4616F">
          <w:rPr>
            <w:noProof/>
            <w:webHidden/>
          </w:rPr>
        </w:r>
        <w:r w:rsidR="00E4616F">
          <w:rPr>
            <w:noProof/>
            <w:webHidden/>
          </w:rPr>
          <w:fldChar w:fldCharType="separate"/>
        </w:r>
        <w:r w:rsidR="0034169D">
          <w:rPr>
            <w:noProof/>
            <w:webHidden/>
          </w:rPr>
          <w:t>9</w:t>
        </w:r>
        <w:r w:rsidR="00E4616F">
          <w:rPr>
            <w:noProof/>
            <w:webHidden/>
          </w:rPr>
          <w:fldChar w:fldCharType="end"/>
        </w:r>
      </w:hyperlink>
    </w:p>
    <w:p w:rsidR="0034169D" w:rsidRDefault="00E4616F" w:rsidP="004D67C9">
      <w:pPr>
        <w:rPr>
          <w:lang w:val="en-US"/>
        </w:rPr>
      </w:pPr>
      <w:r w:rsidRPr="006E686D">
        <w:rPr>
          <w:rFonts w:ascii="Verdana" w:hAnsi="Verdana"/>
          <w:lang w:val="en-US"/>
        </w:rPr>
        <w:fldChar w:fldCharType="end"/>
      </w:r>
      <w:r w:rsidR="0034169D" w:rsidRPr="00CB3F05">
        <w:rPr>
          <w:lang w:val="en-US"/>
        </w:rP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34169D" w:rsidRPr="00BB3FBE" w:rsidTr="006B4B67">
        <w:tc>
          <w:tcPr>
            <w:tcW w:w="7337" w:type="dxa"/>
          </w:tcPr>
          <w:p w:rsidR="0034169D" w:rsidRPr="0081422E" w:rsidRDefault="0034169D" w:rsidP="00190B32">
            <w:pPr>
              <w:pStyle w:val="berschrift1"/>
              <w:rPr>
                <w:lang w:val="en-GB"/>
              </w:rPr>
            </w:pPr>
            <w:bookmarkStart w:id="0" w:name="_Toc324840129"/>
            <w:bookmarkStart w:id="1" w:name="_Toc316847625"/>
            <w:bookmarkStart w:id="2" w:name="_Toc317514568"/>
            <w:bookmarkStart w:id="3" w:name="_Toc317516108"/>
            <w:r w:rsidRPr="0081422E">
              <w:rPr>
                <w:lang w:val="en-GB"/>
              </w:rPr>
              <w:t>1. Introduction</w:t>
            </w:r>
            <w:bookmarkEnd w:id="0"/>
          </w:p>
          <w:p w:rsidR="0034169D" w:rsidRDefault="0034169D" w:rsidP="00EA4DEA">
            <w:pPr>
              <w:spacing w:line="276" w:lineRule="auto"/>
              <w:rPr>
                <w:lang w:val="en-GB" w:eastAsia="en-US"/>
              </w:rPr>
            </w:pPr>
            <w:r w:rsidRPr="00EA4DEA">
              <w:rPr>
                <w:lang w:val="en-GB" w:eastAsia="en-US"/>
              </w:rPr>
              <w:t xml:space="preserve">There is no doubt that the different </w:t>
            </w:r>
            <w:r>
              <w:rPr>
                <w:lang w:val="en-GB" w:eastAsia="en-US"/>
              </w:rPr>
              <w:t>h</w:t>
            </w:r>
            <w:r w:rsidRPr="00EA4DEA">
              <w:rPr>
                <w:lang w:val="en-GB" w:eastAsia="en-US"/>
              </w:rPr>
              <w:t xml:space="preserve">uman </w:t>
            </w:r>
            <w:r>
              <w:rPr>
                <w:lang w:val="en-GB" w:eastAsia="en-US"/>
              </w:rPr>
              <w:t>r</w:t>
            </w:r>
            <w:r w:rsidRPr="00EA4DEA">
              <w:rPr>
                <w:lang w:val="en-GB" w:eastAsia="en-US"/>
              </w:rPr>
              <w:t>ights provisions States adopt are meaningless without a good system of control and monitoring.</w:t>
            </w:r>
            <w:r>
              <w:rPr>
                <w:lang w:val="en-GB" w:eastAsia="en-US"/>
              </w:rPr>
              <w:t xml:space="preserve"> Since the end of the Second World War a variety of </w:t>
            </w:r>
            <w:r w:rsidRPr="00EA4DEA">
              <w:rPr>
                <w:lang w:val="en-GB" w:eastAsia="en-US"/>
              </w:rPr>
              <w:t>mechanisms were set up</w:t>
            </w:r>
            <w:r>
              <w:rPr>
                <w:lang w:val="en-GB" w:eastAsia="en-US"/>
              </w:rPr>
              <w:t xml:space="preserve"> </w:t>
            </w:r>
            <w:r w:rsidRPr="00EA4DEA">
              <w:rPr>
                <w:lang w:val="en-GB" w:eastAsia="en-US"/>
              </w:rPr>
              <w:t xml:space="preserve">to </w:t>
            </w:r>
            <w:r>
              <w:rPr>
                <w:lang w:val="en-GB" w:eastAsia="en-US"/>
              </w:rPr>
              <w:t>provide for a</w:t>
            </w:r>
            <w:r w:rsidRPr="00EA4DEA">
              <w:rPr>
                <w:lang w:val="en-GB" w:eastAsia="en-US"/>
              </w:rPr>
              <w:t xml:space="preserve"> control system and take action in case of violations of </w:t>
            </w:r>
            <w:r>
              <w:rPr>
                <w:lang w:val="en-GB" w:eastAsia="en-US"/>
              </w:rPr>
              <w:t>h</w:t>
            </w:r>
            <w:r w:rsidRPr="00EA4DEA">
              <w:rPr>
                <w:lang w:val="en-GB" w:eastAsia="en-US"/>
              </w:rPr>
              <w:t xml:space="preserve">uman </w:t>
            </w:r>
            <w:r>
              <w:rPr>
                <w:lang w:val="en-GB" w:eastAsia="en-US"/>
              </w:rPr>
              <w:t>r</w:t>
            </w:r>
            <w:r w:rsidRPr="00EA4DEA">
              <w:rPr>
                <w:lang w:val="en-GB" w:eastAsia="en-US"/>
              </w:rPr>
              <w:t>ights.</w:t>
            </w:r>
            <w:r>
              <w:rPr>
                <w:lang w:val="en-GB" w:eastAsia="en-US"/>
              </w:rPr>
              <w:t xml:space="preserve"> These institutions and procedures operate in the framework of the United Nations as well as regional organisations for human rights, like the Council of Europe, the Organisation of American States, the African Union, etc.</w:t>
            </w:r>
          </w:p>
          <w:p w:rsidR="0034169D" w:rsidRDefault="0034169D" w:rsidP="00EA4DEA">
            <w:pPr>
              <w:spacing w:line="276" w:lineRule="auto"/>
              <w:rPr>
                <w:lang w:val="en-GB" w:eastAsia="en-US"/>
              </w:rPr>
            </w:pPr>
            <w:r>
              <w:rPr>
                <w:lang w:val="en-GB" w:eastAsia="en-US"/>
              </w:rPr>
              <w:t>This short chapter sketches some developments in international human rights monitoring and provides a concise overview of international procedures for such monitoring. It is against this double background that the monitoring system for torture and ill-treatment can better be understood.</w:t>
            </w:r>
          </w:p>
          <w:p w:rsidR="00564BC7" w:rsidRDefault="00564BC7" w:rsidP="00EA4DEA">
            <w:pPr>
              <w:spacing w:line="276" w:lineRule="auto"/>
              <w:rPr>
                <w:lang w:val="en-GB" w:eastAsia="en-US"/>
              </w:rPr>
            </w:pPr>
          </w:p>
          <w:p w:rsidR="0034169D" w:rsidRPr="0081422E" w:rsidRDefault="0034169D" w:rsidP="00190B32">
            <w:pPr>
              <w:pStyle w:val="berschrift1"/>
              <w:rPr>
                <w:lang w:val="en-GB"/>
              </w:rPr>
            </w:pPr>
            <w:bookmarkStart w:id="4" w:name="_Toc324840130"/>
            <w:r w:rsidRPr="0081422E">
              <w:rPr>
                <w:lang w:val="en-GB"/>
              </w:rPr>
              <w:t xml:space="preserve">2. </w:t>
            </w:r>
            <w:bookmarkEnd w:id="1"/>
            <w:r w:rsidRPr="0081422E">
              <w:rPr>
                <w:lang w:val="en-GB"/>
              </w:rPr>
              <w:t xml:space="preserve">The protection of </w:t>
            </w:r>
            <w:r>
              <w:rPr>
                <w:lang w:val="en-GB"/>
              </w:rPr>
              <w:t>h</w:t>
            </w:r>
            <w:r w:rsidRPr="0081422E">
              <w:rPr>
                <w:lang w:val="en-GB"/>
              </w:rPr>
              <w:t xml:space="preserve">uman </w:t>
            </w:r>
            <w:r>
              <w:rPr>
                <w:lang w:val="en-GB"/>
              </w:rPr>
              <w:t>r</w:t>
            </w:r>
            <w:r w:rsidRPr="0081422E">
              <w:rPr>
                <w:lang w:val="en-GB"/>
              </w:rPr>
              <w:t xml:space="preserve">ights through international </w:t>
            </w:r>
            <w:r>
              <w:rPr>
                <w:lang w:val="en-GB"/>
              </w:rPr>
              <w:t>monitoring</w:t>
            </w:r>
            <w:bookmarkEnd w:id="2"/>
            <w:bookmarkEnd w:id="3"/>
            <w:bookmarkEnd w:id="4"/>
          </w:p>
        </w:tc>
        <w:tc>
          <w:tcPr>
            <w:tcW w:w="2552" w:type="dxa"/>
          </w:tcPr>
          <w:p w:rsidR="0034169D" w:rsidRPr="004D67C9" w:rsidRDefault="0034169D" w:rsidP="00F1047C">
            <w:pPr>
              <w:pStyle w:val="Listenabsatz"/>
              <w:spacing w:after="0" w:line="240" w:lineRule="auto"/>
              <w:ind w:left="313"/>
              <w:rPr>
                <w:rFonts w:cs="Calibri"/>
                <w:b/>
                <w:bCs/>
                <w:i/>
                <w:sz w:val="20"/>
                <w:szCs w:val="20"/>
                <w:lang w:val="en-US"/>
              </w:rPr>
            </w:pPr>
          </w:p>
        </w:tc>
      </w:tr>
      <w:tr w:rsidR="0034169D" w:rsidRPr="00BB3FBE" w:rsidTr="006B4B67">
        <w:tc>
          <w:tcPr>
            <w:tcW w:w="7337" w:type="dxa"/>
          </w:tcPr>
          <w:p w:rsidR="0034169D" w:rsidRPr="00F1047C" w:rsidRDefault="0034169D" w:rsidP="00564BC7">
            <w:pPr>
              <w:pStyle w:val="Textkrper"/>
              <w:rPr>
                <w:lang w:val="en-GB"/>
              </w:rPr>
            </w:pPr>
            <w:r>
              <w:rPr>
                <w:lang w:val="en-GB"/>
              </w:rPr>
              <w:t>In the course of t</w:t>
            </w:r>
            <w:r w:rsidRPr="00F1047C">
              <w:rPr>
                <w:lang w:val="en-GB"/>
              </w:rPr>
              <w:t>he last 6</w:t>
            </w:r>
            <w:r>
              <w:rPr>
                <w:lang w:val="en-GB"/>
              </w:rPr>
              <w:t>5</w:t>
            </w:r>
            <w:r w:rsidRPr="00F1047C">
              <w:rPr>
                <w:lang w:val="en-GB"/>
              </w:rPr>
              <w:t xml:space="preserve"> years, an impressive number of international mechanisms have been e</w:t>
            </w:r>
            <w:r>
              <w:rPr>
                <w:lang w:val="en-GB"/>
              </w:rPr>
              <w:t>stablished</w:t>
            </w:r>
            <w:r w:rsidRPr="00F1047C">
              <w:rPr>
                <w:lang w:val="en-GB"/>
              </w:rPr>
              <w:t xml:space="preserve"> in order to monitor the obligations of States with regard to </w:t>
            </w:r>
            <w:r>
              <w:rPr>
                <w:lang w:val="en-GB"/>
              </w:rPr>
              <w:t>h</w:t>
            </w:r>
            <w:r w:rsidRPr="00F1047C">
              <w:rPr>
                <w:lang w:val="en-GB"/>
              </w:rPr>
              <w:t xml:space="preserve">uman </w:t>
            </w:r>
            <w:r>
              <w:rPr>
                <w:lang w:val="en-GB"/>
              </w:rPr>
              <w:t>r</w:t>
            </w:r>
            <w:r w:rsidRPr="00F1047C">
              <w:rPr>
                <w:lang w:val="en-GB"/>
              </w:rPr>
              <w:t>ights.</w:t>
            </w:r>
            <w:r>
              <w:rPr>
                <w:lang w:val="en-GB"/>
              </w:rPr>
              <w:t xml:space="preserve"> This is foremost the case in the context of the United Nations, but also applies to regional organisations for human rights protection, like the Council of Europe, the Organisation of American States, the African Union, etc. However, this </w:t>
            </w:r>
            <w:r w:rsidRPr="00F1047C">
              <w:rPr>
                <w:lang w:val="en-GB"/>
              </w:rPr>
              <w:t>development was far from automatic and easy</w:t>
            </w:r>
            <w:r>
              <w:rPr>
                <w:lang w:val="en-GB"/>
              </w:rPr>
              <w:t>, and displays features of the erratic manner with which it has taken place</w:t>
            </w:r>
            <w:r w:rsidRPr="00F1047C">
              <w:rPr>
                <w:lang w:val="en-GB"/>
              </w:rPr>
              <w:t>.</w:t>
            </w:r>
          </w:p>
          <w:p w:rsidR="0034169D" w:rsidRPr="00F1047C" w:rsidRDefault="0034169D" w:rsidP="00564BC7">
            <w:pPr>
              <w:pStyle w:val="Textkrper"/>
              <w:rPr>
                <w:lang w:val="en-US"/>
              </w:rPr>
            </w:pPr>
            <w:r w:rsidRPr="00F1047C">
              <w:rPr>
                <w:lang w:val="en-GB"/>
              </w:rPr>
              <w:t xml:space="preserve">Antonio </w:t>
            </w:r>
            <w:proofErr w:type="spellStart"/>
            <w:r w:rsidRPr="00F1047C">
              <w:rPr>
                <w:lang w:val="en-GB"/>
              </w:rPr>
              <w:t>Cançado</w:t>
            </w:r>
            <w:proofErr w:type="spellEnd"/>
            <w:r w:rsidRPr="00F1047C">
              <w:rPr>
                <w:lang w:val="en-GB"/>
              </w:rPr>
              <w:t xml:space="preserve"> </w:t>
            </w:r>
            <w:proofErr w:type="spellStart"/>
            <w:r w:rsidRPr="00F1047C">
              <w:rPr>
                <w:lang w:val="en-GB"/>
              </w:rPr>
              <w:t>Trindade</w:t>
            </w:r>
            <w:proofErr w:type="spellEnd"/>
            <w:r w:rsidRPr="00F1047C">
              <w:rPr>
                <w:lang w:val="en-GB"/>
              </w:rPr>
              <w:t xml:space="preserve">, </w:t>
            </w:r>
            <w:r>
              <w:rPr>
                <w:lang w:val="en-GB"/>
              </w:rPr>
              <w:t>a former President of the Inter-American Court of Human Rights and currently a J</w:t>
            </w:r>
            <w:r w:rsidRPr="00F1047C">
              <w:rPr>
                <w:lang w:val="en-GB"/>
              </w:rPr>
              <w:t xml:space="preserve">udge at the International Court of Justice in </w:t>
            </w:r>
            <w:smartTag w:uri="urn:schemas-microsoft-com:office:smarttags" w:element="City">
              <w:smartTag w:uri="urn:schemas-microsoft-com:office:smarttags" w:element="place">
                <w:r w:rsidRPr="00F1047C">
                  <w:rPr>
                    <w:lang w:val="en-GB"/>
                  </w:rPr>
                  <w:t>The Hague</w:t>
                </w:r>
              </w:smartTag>
            </w:smartTag>
            <w:r w:rsidRPr="00F1047C">
              <w:rPr>
                <w:lang w:val="en-GB"/>
              </w:rPr>
              <w:t>,</w:t>
            </w:r>
            <w:r>
              <w:rPr>
                <w:lang w:val="en-GB"/>
              </w:rPr>
              <w:t xml:space="preserve"> already in 1987 argued</w:t>
            </w:r>
            <w:r w:rsidRPr="00F1047C">
              <w:rPr>
                <w:lang w:val="en-GB"/>
              </w:rPr>
              <w:t xml:space="preserve"> that the evolution of international control </w:t>
            </w:r>
            <w:r>
              <w:rPr>
                <w:lang w:val="en-GB"/>
              </w:rPr>
              <w:t>was</w:t>
            </w:r>
            <w:r w:rsidRPr="00F1047C">
              <w:rPr>
                <w:lang w:val="en-GB"/>
              </w:rPr>
              <w:t xml:space="preserve"> linked </w:t>
            </w:r>
            <w:r>
              <w:rPr>
                <w:lang w:val="en-GB"/>
              </w:rPr>
              <w:t>to</w:t>
            </w:r>
            <w:r w:rsidRPr="00F1047C">
              <w:rPr>
                <w:lang w:val="en-GB"/>
              </w:rPr>
              <w:t xml:space="preserve"> some important theoretical developments in international law.</w:t>
            </w:r>
            <w:r>
              <w:rPr>
                <w:rStyle w:val="Funotenzeichen"/>
                <w:lang w:val="en-GB"/>
              </w:rPr>
              <w:footnoteReference w:id="1"/>
            </w:r>
            <w:r w:rsidRPr="00F1047C">
              <w:rPr>
                <w:lang w:val="en-GB"/>
              </w:rPr>
              <w:t xml:space="preserve"> For example, the traditional doctrine of the national jurisdiction of </w:t>
            </w:r>
            <w:r>
              <w:rPr>
                <w:lang w:val="en-GB"/>
              </w:rPr>
              <w:t>S</w:t>
            </w:r>
            <w:r w:rsidRPr="00F1047C">
              <w:rPr>
                <w:lang w:val="en-GB"/>
              </w:rPr>
              <w:t xml:space="preserve">tates in the years 1950-1960 had to be </w:t>
            </w:r>
            <w:r>
              <w:rPr>
                <w:lang w:val="en-GB"/>
              </w:rPr>
              <w:t>delimitated</w:t>
            </w:r>
            <w:r w:rsidRPr="00F1047C">
              <w:rPr>
                <w:lang w:val="en-GB"/>
              </w:rPr>
              <w:t xml:space="preserve"> in order to execute external control by several commissions and committees</w:t>
            </w:r>
            <w:r>
              <w:rPr>
                <w:lang w:val="en-GB"/>
              </w:rPr>
              <w:t xml:space="preserve"> and s</w:t>
            </w:r>
            <w:r w:rsidRPr="00F1047C">
              <w:rPr>
                <w:lang w:val="en-GB"/>
              </w:rPr>
              <w:t xml:space="preserve">everal factors contributed to the erosion of this doctrine. </w:t>
            </w:r>
            <w:r>
              <w:rPr>
                <w:lang w:val="en-GB"/>
              </w:rPr>
              <w:t>First of all, at</w:t>
            </w:r>
            <w:r w:rsidRPr="00F1047C">
              <w:rPr>
                <w:lang w:val="en-GB"/>
              </w:rPr>
              <w:t xml:space="preserve"> a theoretical level it proved important that States labell</w:t>
            </w:r>
            <w:r>
              <w:rPr>
                <w:lang w:val="en-GB"/>
              </w:rPr>
              <w:t xml:space="preserve">ed </w:t>
            </w:r>
            <w:r w:rsidRPr="00F1047C">
              <w:rPr>
                <w:lang w:val="en-GB"/>
              </w:rPr>
              <w:t xml:space="preserve">the international mechanisms as subsidiary to national mechanisms, which of course implied that the primacy of supervision </w:t>
            </w:r>
            <w:r>
              <w:rPr>
                <w:lang w:val="en-GB"/>
              </w:rPr>
              <w:t>remained</w:t>
            </w:r>
            <w:r w:rsidRPr="00F1047C">
              <w:rPr>
                <w:lang w:val="en-GB"/>
              </w:rPr>
              <w:t xml:space="preserve"> at national level. Secondly</w:t>
            </w:r>
            <w:r>
              <w:rPr>
                <w:lang w:val="en-GB"/>
              </w:rPr>
              <w:t>,</w:t>
            </w:r>
            <w:r w:rsidRPr="00F1047C">
              <w:rPr>
                <w:lang w:val="en-GB"/>
              </w:rPr>
              <w:t xml:space="preserve"> various judicial techniques were developed to </w:t>
            </w:r>
            <w:r>
              <w:rPr>
                <w:lang w:val="en-GB"/>
              </w:rPr>
              <w:t>provide a certain flexibility</w:t>
            </w:r>
            <w:r w:rsidRPr="00F1047C">
              <w:rPr>
                <w:lang w:val="en-GB"/>
              </w:rPr>
              <w:t xml:space="preserve"> to States before they had to subject themselves to international control, e.g. optional complaint</w:t>
            </w:r>
            <w:r>
              <w:rPr>
                <w:lang w:val="en-GB"/>
              </w:rPr>
              <w:t xml:space="preserve">s </w:t>
            </w:r>
            <w:r w:rsidRPr="00F1047C">
              <w:rPr>
                <w:lang w:val="en-GB"/>
              </w:rPr>
              <w:t xml:space="preserve">procedures, derogatory clauses, etc. The </w:t>
            </w:r>
            <w:r>
              <w:rPr>
                <w:lang w:val="en-GB"/>
              </w:rPr>
              <w:t>decrease in importance</w:t>
            </w:r>
            <w:r w:rsidRPr="00F1047C">
              <w:rPr>
                <w:lang w:val="en-GB"/>
              </w:rPr>
              <w:t xml:space="preserve"> of this </w:t>
            </w:r>
            <w:r>
              <w:rPr>
                <w:lang w:val="en-GB"/>
              </w:rPr>
              <w:t>S</w:t>
            </w:r>
            <w:r w:rsidRPr="00F1047C">
              <w:rPr>
                <w:lang w:val="en-GB"/>
              </w:rPr>
              <w:t>tate doctrine went</w:t>
            </w:r>
            <w:r>
              <w:rPr>
                <w:lang w:val="en-GB"/>
              </w:rPr>
              <w:t xml:space="preserve"> hand in hand</w:t>
            </w:r>
            <w:r w:rsidRPr="00F1047C">
              <w:rPr>
                <w:lang w:val="en-GB"/>
              </w:rPr>
              <w:t xml:space="preserve"> with two similar developments in international law, namely an increasing possibility for individuals to take p</w:t>
            </w:r>
            <w:r>
              <w:rPr>
                <w:lang w:val="en-GB"/>
              </w:rPr>
              <w:t>art in international monitoring</w:t>
            </w:r>
            <w:r w:rsidRPr="00F1047C">
              <w:rPr>
                <w:lang w:val="en-GB"/>
              </w:rPr>
              <w:t xml:space="preserve"> procedures and the increasing assertiveness of international institutions to undertake actions themselves in the field of </w:t>
            </w:r>
            <w:r>
              <w:rPr>
                <w:lang w:val="en-GB"/>
              </w:rPr>
              <w:t>h</w:t>
            </w:r>
            <w:r w:rsidRPr="00F1047C">
              <w:rPr>
                <w:lang w:val="en-GB"/>
              </w:rPr>
              <w:t xml:space="preserve">uman </w:t>
            </w:r>
            <w:r>
              <w:rPr>
                <w:lang w:val="en-GB"/>
              </w:rPr>
              <w:t>r</w:t>
            </w:r>
            <w:r w:rsidRPr="00F1047C">
              <w:rPr>
                <w:lang w:val="en-GB"/>
              </w:rPr>
              <w:t>ights.</w:t>
            </w:r>
          </w:p>
        </w:tc>
        <w:tc>
          <w:tcPr>
            <w:tcW w:w="2552" w:type="dxa"/>
          </w:tcPr>
          <w:p w:rsidR="0034169D" w:rsidRPr="004D67C9" w:rsidRDefault="0034169D" w:rsidP="006B4B67">
            <w:pPr>
              <w:pStyle w:val="Listenabsatz"/>
              <w:spacing w:after="0" w:line="240" w:lineRule="auto"/>
              <w:ind w:left="318"/>
              <w:rPr>
                <w:rFonts w:cs="Calibri"/>
                <w:b/>
                <w:i/>
                <w:sz w:val="20"/>
                <w:szCs w:val="20"/>
                <w:lang w:val="en-US"/>
              </w:rPr>
            </w:pPr>
          </w:p>
          <w:p w:rsidR="0034169D" w:rsidRPr="004D67C9" w:rsidRDefault="0034169D" w:rsidP="006B4B67">
            <w:pPr>
              <w:pStyle w:val="Listenabsatz"/>
              <w:spacing w:after="0" w:line="240" w:lineRule="auto"/>
              <w:ind w:left="318"/>
              <w:rPr>
                <w:rFonts w:cs="Calibri"/>
                <w:b/>
                <w:i/>
                <w:sz w:val="20"/>
                <w:szCs w:val="20"/>
                <w:lang w:val="en-US"/>
              </w:rPr>
            </w:pPr>
          </w:p>
        </w:tc>
      </w:tr>
      <w:tr w:rsidR="0034169D" w:rsidRPr="00BB3FBE" w:rsidTr="006B4B67">
        <w:tc>
          <w:tcPr>
            <w:tcW w:w="7337" w:type="dxa"/>
          </w:tcPr>
          <w:p w:rsidR="0034169D" w:rsidRDefault="0034169D" w:rsidP="006B4B67">
            <w:pPr>
              <w:pStyle w:val="Textkrper"/>
              <w:rPr>
                <w:lang w:val="en-GB"/>
              </w:rPr>
            </w:pPr>
            <w:r w:rsidRPr="00F1047C">
              <w:rPr>
                <w:lang w:val="en-GB"/>
              </w:rPr>
              <w:t>Many of these developments have been fostered by</w:t>
            </w:r>
            <w:r>
              <w:rPr>
                <w:lang w:val="en-GB"/>
              </w:rPr>
              <w:t xml:space="preserve"> two major political developments: first, the era of decolonisation in the 1960s led the newly independent countries to reassert their national sovereignty, including the sovereignty over human rights matters; and secondly, </w:t>
            </w:r>
            <w:r w:rsidRPr="00F1047C">
              <w:rPr>
                <w:lang w:val="en-GB"/>
              </w:rPr>
              <w:t xml:space="preserve">the </w:t>
            </w:r>
            <w:r>
              <w:rPr>
                <w:lang w:val="en-GB"/>
              </w:rPr>
              <w:t>end of the Cold War and the fall of the Berlin wall in 1989 opened up new space for mutual cooperation and control in the sphere of human rights</w:t>
            </w:r>
            <w:r w:rsidRPr="00F1047C">
              <w:rPr>
                <w:lang w:val="en-GB"/>
              </w:rPr>
              <w:t>.</w:t>
            </w:r>
          </w:p>
          <w:p w:rsidR="0034169D" w:rsidRDefault="0034169D" w:rsidP="006B4B67">
            <w:pPr>
              <w:pStyle w:val="Textkrper"/>
              <w:rPr>
                <w:lang w:val="en-GB"/>
              </w:rPr>
            </w:pPr>
            <w:r>
              <w:rPr>
                <w:lang w:val="en-GB"/>
              </w:rPr>
              <w:t xml:space="preserve">It is therefore clear that today’s </w:t>
            </w:r>
            <w:r w:rsidRPr="00F1047C">
              <w:rPr>
                <w:lang w:val="en-GB"/>
              </w:rPr>
              <w:t xml:space="preserve">system of international </w:t>
            </w:r>
            <w:r>
              <w:rPr>
                <w:lang w:val="en-GB"/>
              </w:rPr>
              <w:t xml:space="preserve">human rights monitoring </w:t>
            </w:r>
            <w:r w:rsidRPr="00F1047C">
              <w:rPr>
                <w:lang w:val="en-GB"/>
              </w:rPr>
              <w:t>is the result of both theoretical and political developments</w:t>
            </w:r>
            <w:r>
              <w:rPr>
                <w:lang w:val="en-GB"/>
              </w:rPr>
              <w:t xml:space="preserve"> that </w:t>
            </w:r>
            <w:r w:rsidRPr="00F1047C">
              <w:rPr>
                <w:lang w:val="en-GB"/>
              </w:rPr>
              <w:t>illustrate the permanent tension between national and transnational interests.</w:t>
            </w:r>
          </w:p>
          <w:p w:rsidR="00564BC7" w:rsidRPr="00EE24BF" w:rsidRDefault="00564BC7" w:rsidP="006B4B67">
            <w:pPr>
              <w:pStyle w:val="Textkrper"/>
              <w:rPr>
                <w:lang w:val="en-US"/>
              </w:rPr>
            </w:pPr>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tc>
      </w:tr>
      <w:tr w:rsidR="0034169D" w:rsidRPr="00BB3FBE" w:rsidTr="006B4B67">
        <w:tc>
          <w:tcPr>
            <w:tcW w:w="7337" w:type="dxa"/>
          </w:tcPr>
          <w:p w:rsidR="0034169D" w:rsidRPr="0081422E" w:rsidRDefault="0034169D" w:rsidP="00F1047C">
            <w:pPr>
              <w:pStyle w:val="berschrift1"/>
              <w:rPr>
                <w:lang w:val="en-GB"/>
              </w:rPr>
            </w:pPr>
            <w:bookmarkStart w:id="5" w:name="_Toc324840131"/>
            <w:r>
              <w:rPr>
                <w:lang w:val="en-US"/>
              </w:rPr>
              <w:t xml:space="preserve">3. Quick overview of </w:t>
            </w:r>
            <w:r w:rsidRPr="0081422E">
              <w:rPr>
                <w:lang w:val="en-GB"/>
              </w:rPr>
              <w:t xml:space="preserve">international </w:t>
            </w:r>
            <w:r>
              <w:rPr>
                <w:lang w:val="en-GB"/>
              </w:rPr>
              <w:t>human rights procedures</w:t>
            </w:r>
            <w:bookmarkEnd w:id="5"/>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tc>
      </w:tr>
      <w:tr w:rsidR="0034169D" w:rsidRPr="00BB3FBE" w:rsidTr="006B4B67">
        <w:tc>
          <w:tcPr>
            <w:tcW w:w="7337" w:type="dxa"/>
          </w:tcPr>
          <w:p w:rsidR="0034169D" w:rsidRDefault="0034169D" w:rsidP="00F1047C">
            <w:pPr>
              <w:spacing w:line="276" w:lineRule="auto"/>
              <w:rPr>
                <w:lang w:val="en-GB" w:eastAsia="en-US"/>
              </w:rPr>
            </w:pPr>
            <w:r>
              <w:rPr>
                <w:szCs w:val="22"/>
                <w:lang w:val="en-GB" w:eastAsia="en-US"/>
              </w:rPr>
              <w:t xml:space="preserve">Anyone looking at the </w:t>
            </w:r>
            <w:r w:rsidRPr="00F1047C">
              <w:rPr>
                <w:szCs w:val="22"/>
                <w:lang w:val="en-GB" w:eastAsia="en-US"/>
              </w:rPr>
              <w:t>organizational chart</w:t>
            </w:r>
            <w:r>
              <w:rPr>
                <w:szCs w:val="22"/>
                <w:lang w:val="en-GB" w:eastAsia="en-US"/>
              </w:rPr>
              <w:t>s</w:t>
            </w:r>
            <w:r w:rsidRPr="00F1047C">
              <w:rPr>
                <w:szCs w:val="22"/>
                <w:lang w:val="en-GB" w:eastAsia="en-US"/>
              </w:rPr>
              <w:t xml:space="preserve"> of the U</w:t>
            </w:r>
            <w:r>
              <w:rPr>
                <w:szCs w:val="22"/>
                <w:lang w:val="en-GB" w:eastAsia="en-US"/>
              </w:rPr>
              <w:t>nited Nations or regional organisations in the field of h</w:t>
            </w:r>
            <w:r w:rsidRPr="00F1047C">
              <w:rPr>
                <w:szCs w:val="22"/>
                <w:lang w:val="en-GB" w:eastAsia="en-US"/>
              </w:rPr>
              <w:t xml:space="preserve">uman </w:t>
            </w:r>
            <w:r>
              <w:rPr>
                <w:szCs w:val="22"/>
                <w:lang w:val="en-GB" w:eastAsia="en-US"/>
              </w:rPr>
              <w:t>r</w:t>
            </w:r>
            <w:r w:rsidRPr="00F1047C">
              <w:rPr>
                <w:szCs w:val="22"/>
                <w:lang w:val="en-GB" w:eastAsia="en-US"/>
              </w:rPr>
              <w:t>ights</w:t>
            </w:r>
            <w:r>
              <w:rPr>
                <w:szCs w:val="22"/>
                <w:lang w:val="en-GB" w:eastAsia="en-US"/>
              </w:rPr>
              <w:t xml:space="preserve"> runs the risk of being left with a sense of bewilderment, and possibly confusion. These charts resemble</w:t>
            </w:r>
            <w:r w:rsidRPr="00F1047C">
              <w:rPr>
                <w:szCs w:val="22"/>
                <w:lang w:val="en-GB" w:eastAsia="en-US"/>
              </w:rPr>
              <w:t xml:space="preserve"> a labyrinth of institutions and procedures rather than </w:t>
            </w:r>
            <w:r>
              <w:rPr>
                <w:szCs w:val="22"/>
                <w:lang w:val="en-GB" w:eastAsia="en-US"/>
              </w:rPr>
              <w:t>providing a</w:t>
            </w:r>
            <w:r w:rsidRPr="00F1047C">
              <w:rPr>
                <w:szCs w:val="22"/>
                <w:lang w:val="en-GB" w:eastAsia="en-US"/>
              </w:rPr>
              <w:t xml:space="preserve"> transparent </w:t>
            </w:r>
            <w:r>
              <w:rPr>
                <w:szCs w:val="22"/>
                <w:lang w:val="en-GB" w:eastAsia="en-US"/>
              </w:rPr>
              <w:t>building.</w:t>
            </w:r>
          </w:p>
          <w:p w:rsidR="0034169D" w:rsidRPr="004D1CE6" w:rsidRDefault="0034169D" w:rsidP="00F1047C">
            <w:pPr>
              <w:spacing w:line="276" w:lineRule="auto"/>
              <w:rPr>
                <w:lang w:val="en-GB" w:eastAsia="en-US"/>
              </w:rPr>
            </w:pPr>
            <w:r>
              <w:rPr>
                <w:szCs w:val="22"/>
                <w:lang w:val="en-GB" w:eastAsia="en-US"/>
              </w:rPr>
              <w:t>The following paragraphs give a quick overview of the three most important types of international procedures for human rights monitoring. It should provide more guidance for anyone interested in the international fight against torture to situate the various parts of the Istanbul Protocol against this background.</w:t>
            </w:r>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tc>
      </w:tr>
      <w:tr w:rsidR="0034169D" w:rsidRPr="002A3956" w:rsidTr="006B4B67">
        <w:tc>
          <w:tcPr>
            <w:tcW w:w="7337" w:type="dxa"/>
          </w:tcPr>
          <w:p w:rsidR="0034169D" w:rsidRPr="00C702EA" w:rsidRDefault="0034169D" w:rsidP="00F1047C">
            <w:pPr>
              <w:pStyle w:val="berschrift2"/>
              <w:rPr>
                <w:lang w:val="en-US"/>
              </w:rPr>
            </w:pPr>
            <w:bookmarkStart w:id="6" w:name="_Toc324840132"/>
            <w:r w:rsidRPr="00C702EA">
              <w:rPr>
                <w:lang w:val="en-US"/>
              </w:rPr>
              <w:t>3.1 Reporting Procedures</w:t>
            </w:r>
            <w:bookmarkEnd w:id="6"/>
          </w:p>
        </w:tc>
        <w:tc>
          <w:tcPr>
            <w:tcW w:w="2552" w:type="dxa"/>
          </w:tcPr>
          <w:p w:rsidR="0034169D" w:rsidRPr="004D67C9" w:rsidRDefault="0034169D" w:rsidP="00F1047C">
            <w:pPr>
              <w:pStyle w:val="Listenabsatz"/>
              <w:spacing w:after="0" w:line="240" w:lineRule="auto"/>
              <w:ind w:left="313"/>
              <w:rPr>
                <w:rFonts w:cs="Calibri"/>
                <w:i/>
                <w:sz w:val="20"/>
                <w:szCs w:val="20"/>
                <w:lang w:val="en-US"/>
              </w:rPr>
            </w:pPr>
          </w:p>
        </w:tc>
      </w:tr>
      <w:tr w:rsidR="0034169D" w:rsidRPr="00BB3FBE" w:rsidTr="006B4B67">
        <w:tc>
          <w:tcPr>
            <w:tcW w:w="7337" w:type="dxa"/>
          </w:tcPr>
          <w:p w:rsidR="0034169D" w:rsidRPr="007D1DD3" w:rsidRDefault="0034169D" w:rsidP="006B4B67">
            <w:pPr>
              <w:pStyle w:val="Textkrper"/>
              <w:rPr>
                <w:lang w:val="en-GB"/>
              </w:rPr>
            </w:pPr>
            <w:r w:rsidRPr="007D1DD3">
              <w:rPr>
                <w:lang w:val="en-GB"/>
              </w:rPr>
              <w:t xml:space="preserve">The </w:t>
            </w:r>
            <w:r>
              <w:rPr>
                <w:lang w:val="en-GB"/>
              </w:rPr>
              <w:t>legal</w:t>
            </w:r>
            <w:r w:rsidRPr="007D1DD3">
              <w:rPr>
                <w:lang w:val="en-GB"/>
              </w:rPr>
              <w:t xml:space="preserve"> basis of these reporting procedures can be found in </w:t>
            </w:r>
            <w:r>
              <w:rPr>
                <w:lang w:val="en-GB"/>
              </w:rPr>
              <w:t xml:space="preserve">a number of </w:t>
            </w:r>
            <w:r w:rsidRPr="007D1DD3">
              <w:rPr>
                <w:lang w:val="en-GB"/>
              </w:rPr>
              <w:t xml:space="preserve">important </w:t>
            </w:r>
            <w:r>
              <w:rPr>
                <w:lang w:val="en-GB"/>
              </w:rPr>
              <w:t>h</w:t>
            </w:r>
            <w:r w:rsidRPr="007D1DD3">
              <w:rPr>
                <w:lang w:val="en-GB"/>
              </w:rPr>
              <w:t xml:space="preserve">uman </w:t>
            </w:r>
            <w:r>
              <w:rPr>
                <w:lang w:val="en-GB"/>
              </w:rPr>
              <w:t>r</w:t>
            </w:r>
            <w:r w:rsidRPr="007D1DD3">
              <w:rPr>
                <w:lang w:val="en-GB"/>
              </w:rPr>
              <w:t xml:space="preserve">ights </w:t>
            </w:r>
            <w:r>
              <w:rPr>
                <w:lang w:val="en-GB"/>
              </w:rPr>
              <w:t>c</w:t>
            </w:r>
            <w:r w:rsidRPr="007D1DD3">
              <w:rPr>
                <w:lang w:val="en-GB"/>
              </w:rPr>
              <w:t>onventions</w:t>
            </w:r>
            <w:r>
              <w:rPr>
                <w:lang w:val="en-GB"/>
              </w:rPr>
              <w:t xml:space="preserve"> of the United Nations system,</w:t>
            </w:r>
            <w:r w:rsidRPr="007D1DD3">
              <w:rPr>
                <w:lang w:val="en-GB"/>
              </w:rPr>
              <w:t xml:space="preserve"> which </w:t>
            </w:r>
            <w:r>
              <w:rPr>
                <w:lang w:val="en-GB"/>
              </w:rPr>
              <w:t xml:space="preserve">illustrates </w:t>
            </w:r>
            <w:r w:rsidRPr="007D1DD3">
              <w:rPr>
                <w:lang w:val="en-GB"/>
              </w:rPr>
              <w:t xml:space="preserve">that these procedures encompass a broad range of </w:t>
            </w:r>
            <w:r>
              <w:rPr>
                <w:lang w:val="en-GB"/>
              </w:rPr>
              <w:t>civil, political, economic, s</w:t>
            </w:r>
            <w:r w:rsidRPr="007D1DD3">
              <w:rPr>
                <w:lang w:val="en-GB"/>
              </w:rPr>
              <w:t>ocial,</w:t>
            </w:r>
            <w:r>
              <w:rPr>
                <w:lang w:val="en-GB"/>
              </w:rPr>
              <w:t xml:space="preserve"> cultural and collective</w:t>
            </w:r>
            <w:r w:rsidRPr="007D1DD3">
              <w:rPr>
                <w:lang w:val="en-GB"/>
              </w:rPr>
              <w:t xml:space="preserve"> rights, </w:t>
            </w:r>
            <w:r>
              <w:rPr>
                <w:lang w:val="en-GB"/>
              </w:rPr>
              <w:t>including torture and ill-treatment:</w:t>
            </w:r>
          </w:p>
        </w:tc>
        <w:tc>
          <w:tcPr>
            <w:tcW w:w="2552" w:type="dxa"/>
          </w:tcPr>
          <w:p w:rsidR="0034169D" w:rsidRPr="004D67C9" w:rsidRDefault="0034169D" w:rsidP="006B4B67">
            <w:pPr>
              <w:pStyle w:val="Listenabsatz"/>
              <w:spacing w:after="0" w:line="240" w:lineRule="auto"/>
              <w:ind w:left="313"/>
              <w:rPr>
                <w:rFonts w:cs="Calibri"/>
                <w:i/>
                <w:sz w:val="20"/>
                <w:szCs w:val="20"/>
                <w:lang w:val="en-GB"/>
              </w:rPr>
            </w:pPr>
          </w:p>
        </w:tc>
      </w:tr>
      <w:tr w:rsidR="0034169D" w:rsidRPr="002A3956" w:rsidTr="006B4B67">
        <w:tc>
          <w:tcPr>
            <w:tcW w:w="7337" w:type="dxa"/>
          </w:tcPr>
          <w:p w:rsidR="0034169D" w:rsidRPr="00564BC7" w:rsidRDefault="0034169D" w:rsidP="007D1DD3">
            <w:pPr>
              <w:pStyle w:val="Textkrper"/>
              <w:numPr>
                <w:ilvl w:val="0"/>
                <w:numId w:val="5"/>
              </w:numPr>
              <w:rPr>
                <w:lang w:val="en-GB"/>
              </w:rPr>
            </w:pPr>
            <w:r w:rsidRPr="00564BC7">
              <w:rPr>
                <w:lang w:val="en-GB"/>
              </w:rPr>
              <w:t xml:space="preserve">the </w:t>
            </w:r>
            <w:hyperlink r:id="rId20" w:history="1">
              <w:r w:rsidRPr="00564BC7">
                <w:rPr>
                  <w:rStyle w:val="Hyperlink"/>
                  <w:color w:val="auto"/>
                  <w:lang w:val="en-GB"/>
                </w:rPr>
                <w:t>International Convention on the Elimination of All Forms of Racial Discrimination</w:t>
              </w:r>
            </w:hyperlink>
            <w:r w:rsidRPr="00564BC7">
              <w:rPr>
                <w:lang w:val="en-GB"/>
              </w:rPr>
              <w:t>;</w:t>
            </w:r>
          </w:p>
          <w:p w:rsidR="0034169D" w:rsidRPr="00564BC7" w:rsidRDefault="0034169D" w:rsidP="007D1DD3">
            <w:pPr>
              <w:pStyle w:val="Textkrper"/>
              <w:numPr>
                <w:ilvl w:val="0"/>
                <w:numId w:val="5"/>
              </w:numPr>
              <w:rPr>
                <w:lang w:val="en-GB"/>
              </w:rPr>
            </w:pPr>
            <w:r w:rsidRPr="00564BC7">
              <w:rPr>
                <w:lang w:val="en-GB"/>
              </w:rPr>
              <w:t xml:space="preserve">the </w:t>
            </w:r>
            <w:hyperlink r:id="rId21" w:history="1">
              <w:r w:rsidRPr="00564BC7">
                <w:rPr>
                  <w:rStyle w:val="Hyperlink"/>
                  <w:color w:val="auto"/>
                  <w:lang w:val="en-GB"/>
                </w:rPr>
                <w:t>International Covenant on Civil and Political Rights</w:t>
              </w:r>
            </w:hyperlink>
            <w:r w:rsidRPr="00564BC7">
              <w:rPr>
                <w:lang w:val="en-GB"/>
              </w:rPr>
              <w:t>;</w:t>
            </w:r>
          </w:p>
          <w:p w:rsidR="0034169D" w:rsidRPr="00564BC7" w:rsidRDefault="0034169D" w:rsidP="007D1DD3">
            <w:pPr>
              <w:pStyle w:val="Textkrper"/>
              <w:numPr>
                <w:ilvl w:val="0"/>
                <w:numId w:val="5"/>
              </w:numPr>
              <w:rPr>
                <w:lang w:val="en-GB"/>
              </w:rPr>
            </w:pPr>
            <w:r w:rsidRPr="00564BC7">
              <w:rPr>
                <w:lang w:val="en-GB"/>
              </w:rPr>
              <w:t xml:space="preserve">the </w:t>
            </w:r>
            <w:hyperlink r:id="rId22" w:history="1">
              <w:r w:rsidRPr="00564BC7">
                <w:rPr>
                  <w:rStyle w:val="Hyperlink"/>
                  <w:color w:val="auto"/>
                  <w:lang w:val="en-GB"/>
                </w:rPr>
                <w:t>International Covenant on Economic, Social and Cultural Rights</w:t>
              </w:r>
            </w:hyperlink>
            <w:r w:rsidRPr="00564BC7">
              <w:rPr>
                <w:lang w:val="en-GB"/>
              </w:rPr>
              <w:t>;</w:t>
            </w:r>
          </w:p>
          <w:p w:rsidR="0034169D" w:rsidRPr="00564BC7" w:rsidRDefault="0034169D" w:rsidP="007D1DD3">
            <w:pPr>
              <w:pStyle w:val="Textkrper"/>
              <w:numPr>
                <w:ilvl w:val="0"/>
                <w:numId w:val="5"/>
              </w:numPr>
              <w:rPr>
                <w:lang w:val="en-GB"/>
              </w:rPr>
            </w:pPr>
            <w:r w:rsidRPr="00564BC7">
              <w:rPr>
                <w:lang w:val="en-GB"/>
              </w:rPr>
              <w:t xml:space="preserve">the </w:t>
            </w:r>
            <w:hyperlink r:id="rId23" w:history="1">
              <w:r w:rsidRPr="00564BC7">
                <w:rPr>
                  <w:rStyle w:val="Hyperlink"/>
                  <w:color w:val="auto"/>
                  <w:lang w:val="en-GB"/>
                </w:rPr>
                <w:t>Convention on the Elimination of all Forms of Discrimination against Women</w:t>
              </w:r>
            </w:hyperlink>
            <w:r w:rsidRPr="00564BC7">
              <w:rPr>
                <w:lang w:val="en-GB"/>
              </w:rPr>
              <w:t>;</w:t>
            </w:r>
          </w:p>
          <w:p w:rsidR="0034169D" w:rsidRPr="00564BC7" w:rsidRDefault="0034169D" w:rsidP="007D1DD3">
            <w:pPr>
              <w:pStyle w:val="Textkrper"/>
              <w:numPr>
                <w:ilvl w:val="0"/>
                <w:numId w:val="5"/>
              </w:numPr>
              <w:rPr>
                <w:lang w:val="en-GB"/>
              </w:rPr>
            </w:pPr>
            <w:r w:rsidRPr="00564BC7">
              <w:rPr>
                <w:lang w:val="en-GB"/>
              </w:rPr>
              <w:t xml:space="preserve">the </w:t>
            </w:r>
            <w:hyperlink r:id="rId24" w:history="1">
              <w:r w:rsidRPr="00564BC7">
                <w:rPr>
                  <w:rStyle w:val="Hyperlink"/>
                  <w:color w:val="auto"/>
                  <w:lang w:val="en-GB"/>
                </w:rPr>
                <w:t>Convention against Torture</w:t>
              </w:r>
            </w:hyperlink>
            <w:r w:rsidRPr="00564BC7">
              <w:rPr>
                <w:lang w:val="en-GB"/>
              </w:rPr>
              <w:t xml:space="preserve"> and Other Cruel, Inhuman or Degrading Treatment or Punishment;</w:t>
            </w:r>
          </w:p>
          <w:p w:rsidR="0034169D" w:rsidRPr="00564BC7" w:rsidRDefault="0034169D" w:rsidP="0044770D">
            <w:pPr>
              <w:pStyle w:val="Textkrper"/>
              <w:numPr>
                <w:ilvl w:val="0"/>
                <w:numId w:val="5"/>
              </w:numPr>
              <w:rPr>
                <w:lang w:val="en-GB"/>
              </w:rPr>
            </w:pPr>
            <w:r w:rsidRPr="00564BC7">
              <w:rPr>
                <w:lang w:val="en-GB"/>
              </w:rPr>
              <w:t xml:space="preserve">the </w:t>
            </w:r>
            <w:hyperlink r:id="rId25" w:history="1">
              <w:r w:rsidRPr="00564BC7">
                <w:rPr>
                  <w:rStyle w:val="Hyperlink"/>
                  <w:color w:val="auto"/>
                  <w:lang w:val="en-GB"/>
                </w:rPr>
                <w:t>Convention on the Rights of the Child</w:t>
              </w:r>
            </w:hyperlink>
            <w:r w:rsidRPr="00564BC7">
              <w:rPr>
                <w:lang w:val="en-GB"/>
              </w:rPr>
              <w:t>;</w:t>
            </w:r>
          </w:p>
          <w:p w:rsidR="0034169D" w:rsidRPr="00564BC7" w:rsidRDefault="0034169D" w:rsidP="0044770D">
            <w:pPr>
              <w:pStyle w:val="Textkrper"/>
              <w:numPr>
                <w:ilvl w:val="0"/>
                <w:numId w:val="5"/>
              </w:numPr>
              <w:rPr>
                <w:rStyle w:val="Hyperlink"/>
                <w:color w:val="auto"/>
                <w:u w:val="none"/>
                <w:lang w:val="en-GB"/>
              </w:rPr>
            </w:pPr>
            <w:r w:rsidRPr="00564BC7">
              <w:rPr>
                <w:rStyle w:val="Hyperlink"/>
                <w:color w:val="auto"/>
                <w:lang w:val="en-GB"/>
              </w:rPr>
              <w:t>the International Convention on the Protection of the Rights of All Migrant Workers and Members of Their Families; and</w:t>
            </w:r>
          </w:p>
          <w:p w:rsidR="0034169D" w:rsidRPr="007D1DD3" w:rsidRDefault="0034169D" w:rsidP="00FE5DDF">
            <w:pPr>
              <w:pStyle w:val="Textkrper"/>
              <w:numPr>
                <w:ilvl w:val="0"/>
                <w:numId w:val="5"/>
              </w:numPr>
              <w:rPr>
                <w:lang w:val="en-GB"/>
              </w:rPr>
            </w:pPr>
            <w:r w:rsidRPr="00564BC7">
              <w:rPr>
                <w:rStyle w:val="Hyperlink"/>
                <w:color w:val="auto"/>
                <w:lang w:val="en-GB"/>
              </w:rPr>
              <w:t>the Convention on the Rights of Persons with Disabilities.</w:t>
            </w:r>
          </w:p>
        </w:tc>
        <w:tc>
          <w:tcPr>
            <w:tcW w:w="2552" w:type="dxa"/>
          </w:tcPr>
          <w:p w:rsidR="0034169D" w:rsidRPr="00DB0E87" w:rsidRDefault="0034169D" w:rsidP="00EE7B0B">
            <w:pPr>
              <w:pStyle w:val="Listenabsatz"/>
              <w:numPr>
                <w:ilvl w:val="0"/>
                <w:numId w:val="7"/>
              </w:numPr>
              <w:spacing w:after="0" w:line="240" w:lineRule="auto"/>
              <w:ind w:left="318" w:hanging="284"/>
              <w:rPr>
                <w:rFonts w:cs="Calibri"/>
                <w:b/>
                <w:i/>
                <w:sz w:val="20"/>
                <w:szCs w:val="20"/>
                <w:lang w:val="en-US"/>
              </w:rPr>
            </w:pPr>
            <w:r>
              <w:rPr>
                <w:rFonts w:cs="Calibri"/>
                <w:i/>
                <w:sz w:val="20"/>
                <w:szCs w:val="20"/>
                <w:lang w:val="en-US"/>
              </w:rPr>
              <w:t>Read Art. 9 and Art. 15</w:t>
            </w:r>
          </w:p>
          <w:p w:rsidR="0034169D" w:rsidRPr="00DB0E87" w:rsidRDefault="0034169D" w:rsidP="00EE7B0B">
            <w:pPr>
              <w:pStyle w:val="Listenabsatz"/>
              <w:spacing w:after="0" w:line="240" w:lineRule="auto"/>
              <w:ind w:left="318" w:hanging="284"/>
              <w:rPr>
                <w:rFonts w:cs="Calibri"/>
                <w:b/>
                <w:i/>
                <w:sz w:val="20"/>
                <w:szCs w:val="20"/>
                <w:lang w:val="en-US"/>
              </w:rPr>
            </w:pPr>
          </w:p>
          <w:p w:rsidR="0034169D" w:rsidRDefault="0034169D" w:rsidP="00EE7B0B">
            <w:pPr>
              <w:pStyle w:val="Listenabsatz"/>
              <w:numPr>
                <w:ilvl w:val="0"/>
                <w:numId w:val="7"/>
              </w:numPr>
              <w:spacing w:after="0" w:line="240" w:lineRule="auto"/>
              <w:ind w:left="318" w:hanging="284"/>
              <w:rPr>
                <w:rFonts w:cs="Calibri"/>
                <w:i/>
                <w:sz w:val="20"/>
                <w:szCs w:val="20"/>
                <w:lang w:val="en-US"/>
              </w:rPr>
            </w:pPr>
            <w:r>
              <w:rPr>
                <w:rFonts w:cs="Calibri"/>
                <w:i/>
                <w:sz w:val="20"/>
                <w:szCs w:val="20"/>
                <w:lang w:val="en-US"/>
              </w:rPr>
              <w:t xml:space="preserve">Read </w:t>
            </w:r>
            <w:r w:rsidRPr="00DB0E87">
              <w:rPr>
                <w:rFonts w:cs="Calibri"/>
                <w:i/>
                <w:sz w:val="20"/>
                <w:szCs w:val="20"/>
                <w:lang w:val="en-US"/>
              </w:rPr>
              <w:t>Art. 40</w:t>
            </w:r>
          </w:p>
          <w:p w:rsidR="0034169D" w:rsidRDefault="0034169D" w:rsidP="00EE7B0B">
            <w:pPr>
              <w:pStyle w:val="Listenabsatz"/>
              <w:spacing w:after="0" w:line="240" w:lineRule="auto"/>
              <w:ind w:left="318" w:hanging="284"/>
              <w:rPr>
                <w:rFonts w:cs="Calibri"/>
                <w:i/>
                <w:sz w:val="20"/>
                <w:szCs w:val="20"/>
                <w:lang w:val="en-US"/>
              </w:rPr>
            </w:pPr>
          </w:p>
          <w:p w:rsidR="0034169D" w:rsidRDefault="0034169D" w:rsidP="00EE7B0B">
            <w:pPr>
              <w:pStyle w:val="Listenabsatz"/>
              <w:numPr>
                <w:ilvl w:val="0"/>
                <w:numId w:val="7"/>
              </w:numPr>
              <w:spacing w:after="0" w:line="240" w:lineRule="auto"/>
              <w:ind w:left="318" w:hanging="284"/>
              <w:rPr>
                <w:rFonts w:cs="Calibri"/>
                <w:i/>
                <w:sz w:val="20"/>
                <w:szCs w:val="20"/>
                <w:lang w:val="en-US"/>
              </w:rPr>
            </w:pPr>
            <w:r>
              <w:rPr>
                <w:rFonts w:cs="Calibri"/>
                <w:i/>
                <w:sz w:val="20"/>
                <w:szCs w:val="20"/>
                <w:lang w:val="en-US"/>
              </w:rPr>
              <w:t>Read Art. 16</w:t>
            </w:r>
          </w:p>
          <w:p w:rsidR="0034169D" w:rsidRDefault="0034169D" w:rsidP="00EE7B0B">
            <w:pPr>
              <w:pStyle w:val="Listenabsatz"/>
              <w:spacing w:after="0" w:line="240" w:lineRule="auto"/>
              <w:ind w:left="318" w:hanging="284"/>
              <w:rPr>
                <w:rFonts w:cs="Calibri"/>
                <w:i/>
                <w:sz w:val="20"/>
                <w:szCs w:val="20"/>
                <w:lang w:val="en-US"/>
              </w:rPr>
            </w:pPr>
          </w:p>
          <w:p w:rsidR="0034169D" w:rsidRDefault="0034169D" w:rsidP="00EE7B0B">
            <w:pPr>
              <w:pStyle w:val="Listenabsatz"/>
              <w:spacing w:after="0" w:line="240" w:lineRule="auto"/>
              <w:ind w:left="318" w:hanging="284"/>
              <w:rPr>
                <w:rFonts w:cs="Calibri"/>
                <w:i/>
                <w:sz w:val="20"/>
                <w:szCs w:val="20"/>
                <w:lang w:val="en-US"/>
              </w:rPr>
            </w:pPr>
          </w:p>
          <w:p w:rsidR="0034169D" w:rsidRDefault="0034169D" w:rsidP="00EE7B0B">
            <w:pPr>
              <w:pStyle w:val="Listenabsatz"/>
              <w:numPr>
                <w:ilvl w:val="0"/>
                <w:numId w:val="7"/>
              </w:numPr>
              <w:spacing w:after="0" w:line="240" w:lineRule="auto"/>
              <w:ind w:left="318" w:hanging="284"/>
              <w:rPr>
                <w:rFonts w:cs="Calibri"/>
                <w:i/>
                <w:sz w:val="20"/>
                <w:szCs w:val="20"/>
                <w:lang w:val="en-US"/>
              </w:rPr>
            </w:pPr>
            <w:r>
              <w:rPr>
                <w:rFonts w:cs="Calibri"/>
                <w:i/>
                <w:sz w:val="20"/>
                <w:szCs w:val="20"/>
                <w:lang w:val="en-US"/>
              </w:rPr>
              <w:t>Read Art. 18</w:t>
            </w:r>
            <w:r>
              <w:rPr>
                <w:rFonts w:cs="Calibri"/>
                <w:i/>
                <w:sz w:val="20"/>
                <w:szCs w:val="20"/>
                <w:lang w:val="en-US"/>
              </w:rPr>
              <w:br/>
            </w:r>
          </w:p>
          <w:p w:rsidR="0034169D" w:rsidRDefault="0034169D">
            <w:pPr>
              <w:pStyle w:val="Listenabsatz"/>
              <w:spacing w:after="0" w:line="240" w:lineRule="auto"/>
              <w:ind w:left="318"/>
              <w:rPr>
                <w:rFonts w:cs="Calibri"/>
                <w:i/>
                <w:sz w:val="20"/>
                <w:szCs w:val="20"/>
                <w:lang w:val="en-US"/>
              </w:rPr>
            </w:pPr>
          </w:p>
          <w:p w:rsidR="0034169D" w:rsidRDefault="0034169D" w:rsidP="00EE7B0B">
            <w:pPr>
              <w:pStyle w:val="Listenabsatz"/>
              <w:numPr>
                <w:ilvl w:val="0"/>
                <w:numId w:val="7"/>
              </w:numPr>
              <w:spacing w:after="0" w:line="240" w:lineRule="auto"/>
              <w:ind w:left="318" w:hanging="284"/>
              <w:rPr>
                <w:rFonts w:cs="Calibri"/>
                <w:i/>
                <w:sz w:val="20"/>
                <w:szCs w:val="20"/>
                <w:lang w:val="en-US"/>
              </w:rPr>
            </w:pPr>
            <w:r>
              <w:rPr>
                <w:rFonts w:cs="Calibri"/>
                <w:i/>
                <w:sz w:val="20"/>
                <w:szCs w:val="20"/>
                <w:lang w:val="en-US"/>
              </w:rPr>
              <w:t>Read Art. 19</w:t>
            </w:r>
          </w:p>
          <w:p w:rsidR="0034169D" w:rsidRDefault="0034169D">
            <w:pPr>
              <w:pStyle w:val="Listenabsatz"/>
              <w:rPr>
                <w:rFonts w:cs="Calibri"/>
                <w:i/>
                <w:sz w:val="20"/>
                <w:szCs w:val="20"/>
                <w:lang w:val="en-US"/>
              </w:rPr>
            </w:pPr>
          </w:p>
          <w:p w:rsidR="0034169D" w:rsidRPr="0044770D" w:rsidRDefault="0034169D" w:rsidP="00EE7B0B">
            <w:pPr>
              <w:pStyle w:val="Listenabsatz"/>
              <w:spacing w:after="0" w:line="240" w:lineRule="auto"/>
              <w:ind w:left="318" w:hanging="284"/>
              <w:rPr>
                <w:rFonts w:cs="Calibri"/>
                <w:i/>
                <w:sz w:val="8"/>
                <w:szCs w:val="8"/>
                <w:lang w:val="en-US"/>
              </w:rPr>
            </w:pPr>
          </w:p>
          <w:p w:rsidR="0034169D" w:rsidRPr="0044770D" w:rsidRDefault="0034169D" w:rsidP="00EE7B0B">
            <w:pPr>
              <w:pStyle w:val="Listenabsatz"/>
              <w:numPr>
                <w:ilvl w:val="0"/>
                <w:numId w:val="7"/>
              </w:numPr>
              <w:spacing w:after="0" w:line="240" w:lineRule="auto"/>
              <w:ind w:left="318" w:hanging="284"/>
              <w:rPr>
                <w:rFonts w:cs="Calibri"/>
                <w:i/>
                <w:sz w:val="20"/>
                <w:szCs w:val="20"/>
                <w:lang w:val="en-US"/>
              </w:rPr>
            </w:pPr>
            <w:r>
              <w:rPr>
                <w:rFonts w:cs="Calibri"/>
                <w:i/>
                <w:sz w:val="20"/>
                <w:szCs w:val="20"/>
                <w:lang w:val="en-US"/>
              </w:rPr>
              <w:t>Read Art. 44</w:t>
            </w:r>
          </w:p>
        </w:tc>
      </w:tr>
      <w:tr w:rsidR="0034169D" w:rsidRPr="00BB3FBE" w:rsidTr="006B4B67">
        <w:tc>
          <w:tcPr>
            <w:tcW w:w="7337" w:type="dxa"/>
          </w:tcPr>
          <w:p w:rsidR="00564BC7" w:rsidRDefault="00564BC7" w:rsidP="006B4B67">
            <w:pPr>
              <w:pStyle w:val="Textkrper"/>
              <w:rPr>
                <w:lang w:val="en-GB"/>
              </w:rPr>
            </w:pPr>
          </w:p>
          <w:p w:rsidR="0034169D" w:rsidRDefault="0034169D" w:rsidP="006B4B67">
            <w:pPr>
              <w:pStyle w:val="Textkrper"/>
              <w:rPr>
                <w:lang w:val="en-GB"/>
              </w:rPr>
            </w:pPr>
            <w:r>
              <w:rPr>
                <w:lang w:val="en-GB"/>
              </w:rPr>
              <w:t>Reporting procedures require the contracting parties to report at regular intervals about the state of human rights in their country, in other words to give an overview of how human rights have been implemented, promoted and protected. This type of procedures can be regarded as the ‘regular’ or ‘normal’ system in international human rights monitoring as reporting is part of almost all important international conventions.</w:t>
            </w:r>
          </w:p>
          <w:p w:rsidR="0034169D" w:rsidRDefault="0034169D" w:rsidP="006B4B67">
            <w:pPr>
              <w:pStyle w:val="Textkrper"/>
              <w:rPr>
                <w:lang w:val="en-GB"/>
              </w:rPr>
            </w:pPr>
            <w:r>
              <w:rPr>
                <w:lang w:val="en-GB"/>
              </w:rPr>
              <w:t>Here lies the</w:t>
            </w:r>
            <w:r w:rsidRPr="007D1DD3">
              <w:rPr>
                <w:lang w:val="en-GB"/>
              </w:rPr>
              <w:t xml:space="preserve"> strength of reporting procedure</w:t>
            </w:r>
            <w:r>
              <w:rPr>
                <w:lang w:val="en-GB"/>
              </w:rPr>
              <w:t>s: they provide international monitoring bodies with a periodic overview of the h</w:t>
            </w:r>
            <w:r w:rsidRPr="007D1DD3">
              <w:rPr>
                <w:lang w:val="en-GB"/>
              </w:rPr>
              <w:t xml:space="preserve">uman </w:t>
            </w:r>
            <w:r>
              <w:rPr>
                <w:lang w:val="en-GB"/>
              </w:rPr>
              <w:t>r</w:t>
            </w:r>
            <w:r w:rsidRPr="007D1DD3">
              <w:rPr>
                <w:lang w:val="en-GB"/>
              </w:rPr>
              <w:t>ights</w:t>
            </w:r>
            <w:r>
              <w:rPr>
                <w:lang w:val="en-GB"/>
              </w:rPr>
              <w:t xml:space="preserve"> situation in the Member States of the diverse treaties</w:t>
            </w:r>
            <w:r w:rsidRPr="007D1DD3">
              <w:rPr>
                <w:lang w:val="en-GB"/>
              </w:rPr>
              <w:t>.</w:t>
            </w:r>
            <w:r>
              <w:rPr>
                <w:lang w:val="en-GB"/>
              </w:rPr>
              <w:t xml:space="preserve"> By doing so, they allow the monitoring bodies to raise critical questions at the next meeting where states have to present their national report, and to start the so-called ‘constructive dialogue’ between the monitoring bodies and the state.</w:t>
            </w:r>
          </w:p>
          <w:p w:rsidR="0034169D" w:rsidRPr="00EE24BF" w:rsidRDefault="0034169D" w:rsidP="006B4B67">
            <w:pPr>
              <w:pStyle w:val="Textkrper"/>
              <w:rPr>
                <w:lang w:val="en-US"/>
              </w:rPr>
            </w:pPr>
            <w:r>
              <w:rPr>
                <w:lang w:val="en-GB"/>
              </w:rPr>
              <w:t>However</w:t>
            </w:r>
            <w:r w:rsidRPr="007D1DD3">
              <w:rPr>
                <w:lang w:val="en-GB"/>
              </w:rPr>
              <w:t>,</w:t>
            </w:r>
            <w:r>
              <w:rPr>
                <w:lang w:val="en-GB"/>
              </w:rPr>
              <w:t xml:space="preserve"> reporting procedures also have weaknesses. The most important one is that the conclusions and recommendations issued by the monitoring bodies are not binding upon the states, at least not in legal terms. Another problem are the delays with which some state reports are submitted, which may lead to the strange situation that the monitoring body engages in a dialogue with the state on the basis of very outdated information.</w:t>
            </w:r>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tc>
      </w:tr>
      <w:tr w:rsidR="0034169D" w:rsidRPr="00EE24BF" w:rsidTr="006B4B67">
        <w:tc>
          <w:tcPr>
            <w:tcW w:w="7337" w:type="dxa"/>
          </w:tcPr>
          <w:p w:rsidR="0034169D" w:rsidRPr="00C702EA" w:rsidRDefault="0034169D" w:rsidP="007D1DD3">
            <w:pPr>
              <w:pStyle w:val="berschrift2"/>
              <w:rPr>
                <w:lang w:val="en-US"/>
              </w:rPr>
            </w:pPr>
            <w:bookmarkStart w:id="7" w:name="_Toc324840133"/>
            <w:r w:rsidRPr="00C702EA">
              <w:rPr>
                <w:lang w:val="en-US"/>
              </w:rPr>
              <w:t>3.2 Complaint</w:t>
            </w:r>
            <w:r>
              <w:rPr>
                <w:lang w:val="en-US"/>
              </w:rPr>
              <w:t>s</w:t>
            </w:r>
            <w:r w:rsidRPr="00C702EA">
              <w:rPr>
                <w:lang w:val="en-US"/>
              </w:rPr>
              <w:t xml:space="preserve"> Procedures</w:t>
            </w:r>
            <w:bookmarkEnd w:id="7"/>
          </w:p>
        </w:tc>
        <w:tc>
          <w:tcPr>
            <w:tcW w:w="2552" w:type="dxa"/>
          </w:tcPr>
          <w:p w:rsidR="0034169D" w:rsidRPr="004D67C9" w:rsidRDefault="0034169D" w:rsidP="006B4B67">
            <w:pPr>
              <w:pStyle w:val="Listenabsatz"/>
              <w:spacing w:after="0" w:line="240" w:lineRule="auto"/>
              <w:ind w:left="313"/>
              <w:rPr>
                <w:rFonts w:cs="Calibri"/>
                <w:b/>
                <w:i/>
                <w:sz w:val="20"/>
                <w:szCs w:val="20"/>
                <w:lang w:val="en-US"/>
              </w:rPr>
            </w:pPr>
          </w:p>
        </w:tc>
      </w:tr>
      <w:tr w:rsidR="0034169D" w:rsidRPr="00BB3FBE" w:rsidTr="006B4B67">
        <w:tc>
          <w:tcPr>
            <w:tcW w:w="7337" w:type="dxa"/>
          </w:tcPr>
          <w:p w:rsidR="0034169D" w:rsidRPr="00EE24BF" w:rsidRDefault="0034169D" w:rsidP="006B4B67">
            <w:pPr>
              <w:pStyle w:val="Textkrper"/>
              <w:rPr>
                <w:lang w:val="en-US"/>
              </w:rPr>
            </w:pPr>
            <w:r w:rsidRPr="00FE5DDF">
              <w:rPr>
                <w:lang w:val="en-US"/>
              </w:rPr>
              <w:t>C</w:t>
            </w:r>
            <w:proofErr w:type="spellStart"/>
            <w:r w:rsidR="00564BC7" w:rsidRPr="007D1DD3">
              <w:rPr>
                <w:lang w:val="en-GB"/>
              </w:rPr>
              <w:t>omplaints</w:t>
            </w:r>
            <w:proofErr w:type="spellEnd"/>
            <w:r w:rsidRPr="007D1DD3">
              <w:rPr>
                <w:lang w:val="en-GB"/>
              </w:rPr>
              <w:t xml:space="preserve"> procedures </w:t>
            </w:r>
            <w:r>
              <w:rPr>
                <w:lang w:val="en-GB"/>
              </w:rPr>
              <w:t xml:space="preserve">constitute a second type of international monitoring. They allow </w:t>
            </w:r>
            <w:r w:rsidRPr="007D1DD3">
              <w:rPr>
                <w:lang w:val="en-GB"/>
              </w:rPr>
              <w:t>that concrete</w:t>
            </w:r>
            <w:r>
              <w:rPr>
                <w:lang w:val="en-GB"/>
              </w:rPr>
              <w:t xml:space="preserve"> cases</w:t>
            </w:r>
            <w:r w:rsidRPr="007D1DD3">
              <w:rPr>
                <w:lang w:val="en-GB"/>
              </w:rPr>
              <w:t xml:space="preserve"> concerning violations of </w:t>
            </w:r>
            <w:r>
              <w:rPr>
                <w:lang w:val="en-GB"/>
              </w:rPr>
              <w:t>h</w:t>
            </w:r>
            <w:r w:rsidRPr="007D1DD3">
              <w:rPr>
                <w:lang w:val="en-GB"/>
              </w:rPr>
              <w:t>uman rights are handed over to international</w:t>
            </w:r>
            <w:r>
              <w:rPr>
                <w:lang w:val="en-GB"/>
              </w:rPr>
              <w:t xml:space="preserve"> monitoring </w:t>
            </w:r>
            <w:r w:rsidRPr="007D1DD3">
              <w:rPr>
                <w:lang w:val="en-GB"/>
              </w:rPr>
              <w:t xml:space="preserve">institutions. Complaints can be filed by States </w:t>
            </w:r>
            <w:r>
              <w:rPr>
                <w:lang w:val="en-GB"/>
              </w:rPr>
              <w:t xml:space="preserve">against other States </w:t>
            </w:r>
            <w:r w:rsidRPr="007D1DD3">
              <w:rPr>
                <w:lang w:val="en-GB"/>
              </w:rPr>
              <w:t>(‘</w:t>
            </w:r>
            <w:r>
              <w:rPr>
                <w:lang w:val="en-GB"/>
              </w:rPr>
              <w:t>inter-s</w:t>
            </w:r>
            <w:r w:rsidRPr="007D1DD3">
              <w:rPr>
                <w:lang w:val="en-GB"/>
              </w:rPr>
              <w:t xml:space="preserve">tate </w:t>
            </w:r>
            <w:r>
              <w:rPr>
                <w:lang w:val="en-GB"/>
              </w:rPr>
              <w:t>c</w:t>
            </w:r>
            <w:r w:rsidRPr="007D1DD3">
              <w:rPr>
                <w:lang w:val="en-GB"/>
              </w:rPr>
              <w:t>omplaints’)</w:t>
            </w:r>
            <w:r>
              <w:rPr>
                <w:lang w:val="en-GB"/>
              </w:rPr>
              <w:t xml:space="preserve">, </w:t>
            </w:r>
            <w:r w:rsidRPr="007D1DD3">
              <w:rPr>
                <w:lang w:val="en-GB"/>
              </w:rPr>
              <w:t xml:space="preserve">and </w:t>
            </w:r>
            <w:r>
              <w:rPr>
                <w:lang w:val="en-GB"/>
              </w:rPr>
              <w:t xml:space="preserve">by </w:t>
            </w:r>
            <w:r w:rsidRPr="007D1DD3">
              <w:rPr>
                <w:lang w:val="en-GB"/>
              </w:rPr>
              <w:t xml:space="preserve">individuals or groups of individuals </w:t>
            </w:r>
            <w:r>
              <w:rPr>
                <w:lang w:val="en-GB"/>
              </w:rPr>
              <w:t xml:space="preserve">against States </w:t>
            </w:r>
            <w:r w:rsidRPr="007D1DD3">
              <w:rPr>
                <w:lang w:val="en-GB"/>
              </w:rPr>
              <w:t>(‘</w:t>
            </w:r>
            <w:r>
              <w:rPr>
                <w:lang w:val="en-GB"/>
              </w:rPr>
              <w:t>i</w:t>
            </w:r>
            <w:r w:rsidRPr="007D1DD3">
              <w:rPr>
                <w:lang w:val="en-GB"/>
              </w:rPr>
              <w:t xml:space="preserve">ndividual </w:t>
            </w:r>
            <w:r>
              <w:rPr>
                <w:lang w:val="en-GB"/>
              </w:rPr>
              <w:t>c</w:t>
            </w:r>
            <w:r w:rsidRPr="007D1DD3">
              <w:rPr>
                <w:lang w:val="en-GB"/>
              </w:rPr>
              <w:t>omplaint</w:t>
            </w:r>
            <w:r>
              <w:rPr>
                <w:lang w:val="en-GB"/>
              </w:rPr>
              <w:t>s’</w:t>
            </w:r>
            <w:r w:rsidRPr="007D1DD3">
              <w:rPr>
                <w:lang w:val="en-GB"/>
              </w:rPr>
              <w:t>).</w:t>
            </w:r>
          </w:p>
        </w:tc>
        <w:tc>
          <w:tcPr>
            <w:tcW w:w="2552" w:type="dxa"/>
          </w:tcPr>
          <w:p w:rsidR="0034169D" w:rsidRPr="00F1047C" w:rsidRDefault="0034169D" w:rsidP="00F1047C">
            <w:pPr>
              <w:spacing w:after="0" w:line="240" w:lineRule="auto"/>
              <w:rPr>
                <w:rFonts w:cs="Calibri"/>
                <w:i/>
                <w:sz w:val="20"/>
                <w:szCs w:val="20"/>
                <w:lang w:val="en-US"/>
              </w:rPr>
            </w:pPr>
          </w:p>
        </w:tc>
      </w:tr>
      <w:tr w:rsidR="0034169D" w:rsidRPr="00BB3FBE" w:rsidTr="006B4B67">
        <w:tc>
          <w:tcPr>
            <w:tcW w:w="7337" w:type="dxa"/>
          </w:tcPr>
          <w:p w:rsidR="0034169D" w:rsidRPr="00786F17" w:rsidRDefault="0034169D" w:rsidP="007D1DD3">
            <w:pPr>
              <w:pStyle w:val="Textkrper"/>
              <w:rPr>
                <w:lang w:val="en-US"/>
              </w:rPr>
            </w:pPr>
            <w:r>
              <w:rPr>
                <w:lang w:val="en-GB"/>
              </w:rPr>
              <w:t>Not all human rights conventions contain a complaints procedure. In the United Nations system, e.g., only five of the major conventions provide the possibility for individuals to lodge complaints against the Contracting State:</w:t>
            </w:r>
          </w:p>
        </w:tc>
        <w:tc>
          <w:tcPr>
            <w:tcW w:w="2552" w:type="dxa"/>
          </w:tcPr>
          <w:p w:rsidR="0034169D" w:rsidRPr="004D67C9" w:rsidRDefault="0034169D" w:rsidP="00F1047C">
            <w:pPr>
              <w:pStyle w:val="Listenabsatz"/>
              <w:spacing w:after="0" w:line="240" w:lineRule="auto"/>
              <w:ind w:left="313"/>
              <w:rPr>
                <w:rFonts w:cs="Calibri"/>
                <w:i/>
                <w:sz w:val="20"/>
                <w:szCs w:val="20"/>
                <w:lang w:val="en-US"/>
              </w:rPr>
            </w:pPr>
          </w:p>
        </w:tc>
      </w:tr>
      <w:tr w:rsidR="0034169D" w:rsidRPr="00642339" w:rsidTr="006B4B67">
        <w:tc>
          <w:tcPr>
            <w:tcW w:w="7337" w:type="dxa"/>
          </w:tcPr>
          <w:p w:rsidR="0034169D" w:rsidRPr="00564BC7" w:rsidRDefault="0034169D" w:rsidP="007D1DD3">
            <w:pPr>
              <w:pStyle w:val="Textkrper"/>
              <w:numPr>
                <w:ilvl w:val="0"/>
                <w:numId w:val="6"/>
              </w:numPr>
              <w:rPr>
                <w:lang w:val="en-GB"/>
              </w:rPr>
            </w:pPr>
            <w:r w:rsidRPr="00564BC7">
              <w:rPr>
                <w:lang w:val="en-GB"/>
              </w:rPr>
              <w:t xml:space="preserve">the </w:t>
            </w:r>
            <w:hyperlink r:id="rId26" w:history="1">
              <w:r w:rsidRPr="00564BC7">
                <w:rPr>
                  <w:rStyle w:val="Hyperlink"/>
                  <w:color w:val="auto"/>
                  <w:lang w:val="en-GB"/>
                </w:rPr>
                <w:t>International Convention on the Elimination of All Forms of Racial Discrimination</w:t>
              </w:r>
            </w:hyperlink>
            <w:r w:rsidRPr="00564BC7">
              <w:rPr>
                <w:lang w:val="en-GB"/>
              </w:rPr>
              <w:t>;</w:t>
            </w:r>
          </w:p>
          <w:p w:rsidR="0034169D" w:rsidRPr="00564BC7" w:rsidRDefault="0034169D" w:rsidP="007D1DD3">
            <w:pPr>
              <w:pStyle w:val="Textkrper"/>
              <w:numPr>
                <w:ilvl w:val="0"/>
                <w:numId w:val="6"/>
              </w:numPr>
              <w:rPr>
                <w:lang w:val="en-GB"/>
              </w:rPr>
            </w:pPr>
            <w:r w:rsidRPr="00564BC7">
              <w:rPr>
                <w:lang w:val="en-GB"/>
              </w:rPr>
              <w:t xml:space="preserve">the International Covenant on Civil and Political Rights (in </w:t>
            </w:r>
            <w:r w:rsidR="00564BC7">
              <w:rPr>
                <w:lang w:val="en-GB"/>
              </w:rPr>
              <w:t>its</w:t>
            </w:r>
            <w:r w:rsidRPr="00564BC7">
              <w:rPr>
                <w:lang w:val="en-GB"/>
              </w:rPr>
              <w:t xml:space="preserve"> </w:t>
            </w:r>
            <w:hyperlink r:id="rId27" w:history="1">
              <w:r w:rsidR="00564BC7">
                <w:rPr>
                  <w:rStyle w:val="Hyperlink"/>
                  <w:color w:val="auto"/>
                  <w:lang w:val="en-GB"/>
                </w:rPr>
                <w:t>O</w:t>
              </w:r>
              <w:r w:rsidRPr="00564BC7">
                <w:rPr>
                  <w:rStyle w:val="Hyperlink"/>
                  <w:color w:val="auto"/>
                  <w:lang w:val="en-GB"/>
                </w:rPr>
                <w:t xml:space="preserve">ptional </w:t>
              </w:r>
              <w:r w:rsidR="00564BC7">
                <w:rPr>
                  <w:rStyle w:val="Hyperlink"/>
                  <w:color w:val="auto"/>
                  <w:lang w:val="en-GB"/>
                </w:rPr>
                <w:t>P</w:t>
              </w:r>
              <w:r w:rsidRPr="00564BC7">
                <w:rPr>
                  <w:rStyle w:val="Hyperlink"/>
                  <w:color w:val="auto"/>
                  <w:lang w:val="en-GB"/>
                </w:rPr>
                <w:t>rotocol</w:t>
              </w:r>
            </w:hyperlink>
            <w:r w:rsidRPr="00564BC7">
              <w:rPr>
                <w:lang w:val="en-GB"/>
              </w:rPr>
              <w:t>);</w:t>
            </w:r>
          </w:p>
          <w:p w:rsidR="0034169D" w:rsidRPr="00564BC7" w:rsidRDefault="0034169D" w:rsidP="006B4B67">
            <w:pPr>
              <w:pStyle w:val="Textkrper"/>
              <w:numPr>
                <w:ilvl w:val="0"/>
                <w:numId w:val="6"/>
              </w:numPr>
              <w:rPr>
                <w:lang w:val="en-GB"/>
              </w:rPr>
            </w:pPr>
            <w:r w:rsidRPr="00564BC7">
              <w:rPr>
                <w:lang w:val="en-GB"/>
              </w:rPr>
              <w:t xml:space="preserve">the </w:t>
            </w:r>
            <w:hyperlink r:id="rId28" w:history="1">
              <w:r w:rsidRPr="00564BC7">
                <w:rPr>
                  <w:rStyle w:val="Hyperlink"/>
                  <w:color w:val="auto"/>
                  <w:lang w:val="en-GB"/>
                </w:rPr>
                <w:t>Convention against Torture</w:t>
              </w:r>
            </w:hyperlink>
            <w:r w:rsidRPr="00564BC7">
              <w:rPr>
                <w:lang w:val="en-GB"/>
              </w:rPr>
              <w:t xml:space="preserve"> and Other Cruel, Inhuman or Degrading Treatment or Punishment;</w:t>
            </w:r>
          </w:p>
          <w:p w:rsidR="0034169D" w:rsidRPr="00564BC7" w:rsidRDefault="0034169D" w:rsidP="00753DDD">
            <w:pPr>
              <w:pStyle w:val="Textkrper"/>
              <w:numPr>
                <w:ilvl w:val="0"/>
                <w:numId w:val="6"/>
              </w:numPr>
              <w:rPr>
                <w:lang w:val="en-GB"/>
              </w:rPr>
            </w:pPr>
            <w:r w:rsidRPr="00564BC7">
              <w:rPr>
                <w:lang w:val="en-GB"/>
              </w:rPr>
              <w:t xml:space="preserve">the </w:t>
            </w:r>
            <w:hyperlink r:id="rId29" w:history="1">
              <w:r w:rsidRPr="00564BC7">
                <w:rPr>
                  <w:rStyle w:val="Hyperlink"/>
                  <w:color w:val="auto"/>
                  <w:lang w:val="en-GB"/>
                </w:rPr>
                <w:t>Convention on the Elimination of all Forms of Discrimination against Women</w:t>
              </w:r>
            </w:hyperlink>
            <w:r w:rsidRPr="00564BC7">
              <w:rPr>
                <w:lang w:val="en-GB"/>
              </w:rPr>
              <w:t>; and</w:t>
            </w:r>
          </w:p>
          <w:p w:rsidR="0034169D" w:rsidRPr="00564BC7" w:rsidRDefault="0034169D" w:rsidP="006B4B67">
            <w:pPr>
              <w:pStyle w:val="Textkrper"/>
              <w:numPr>
                <w:ilvl w:val="0"/>
                <w:numId w:val="6"/>
              </w:numPr>
              <w:rPr>
                <w:lang w:val="en-GB"/>
              </w:rPr>
            </w:pPr>
            <w:r w:rsidRPr="00564BC7">
              <w:rPr>
                <w:rStyle w:val="Hyperlink"/>
                <w:color w:val="auto"/>
                <w:lang w:val="en-GB"/>
              </w:rPr>
              <w:t>the Convention on the Rights of Persons with Disabilities.</w:t>
            </w:r>
          </w:p>
          <w:p w:rsidR="0034169D" w:rsidRDefault="0034169D" w:rsidP="006B4B67">
            <w:pPr>
              <w:pStyle w:val="Textkrper"/>
              <w:rPr>
                <w:lang w:val="en-GB"/>
              </w:rPr>
            </w:pPr>
            <w:r w:rsidRPr="007D1DD3">
              <w:rPr>
                <w:lang w:val="en-GB"/>
              </w:rPr>
              <w:t>In practice these complaint</w:t>
            </w:r>
            <w:r>
              <w:rPr>
                <w:lang w:val="en-GB"/>
              </w:rPr>
              <w:t>s</w:t>
            </w:r>
            <w:r w:rsidRPr="007D1DD3">
              <w:rPr>
                <w:lang w:val="en-GB"/>
              </w:rPr>
              <w:t xml:space="preserve"> </w:t>
            </w:r>
            <w:r>
              <w:rPr>
                <w:lang w:val="en-GB"/>
              </w:rPr>
              <w:t xml:space="preserve">procedures </w:t>
            </w:r>
            <w:r w:rsidRPr="007D1DD3">
              <w:rPr>
                <w:lang w:val="en-GB"/>
              </w:rPr>
              <w:t xml:space="preserve">mainly focus on </w:t>
            </w:r>
            <w:r>
              <w:rPr>
                <w:lang w:val="en-GB"/>
              </w:rPr>
              <w:t>civil and p</w:t>
            </w:r>
            <w:r w:rsidRPr="007D1DD3">
              <w:rPr>
                <w:lang w:val="en-GB"/>
              </w:rPr>
              <w:t xml:space="preserve">olitical </w:t>
            </w:r>
            <w:r>
              <w:rPr>
                <w:lang w:val="en-GB"/>
              </w:rPr>
              <w:t>r</w:t>
            </w:r>
            <w:r w:rsidRPr="007D1DD3">
              <w:rPr>
                <w:lang w:val="en-GB"/>
              </w:rPr>
              <w:t>ights</w:t>
            </w:r>
            <w:r>
              <w:rPr>
                <w:lang w:val="en-GB"/>
              </w:rPr>
              <w:t>, and torture and ill-treatment are among them</w:t>
            </w:r>
            <w:r w:rsidRPr="007D1DD3">
              <w:rPr>
                <w:lang w:val="en-GB"/>
              </w:rPr>
              <w:t>.</w:t>
            </w:r>
            <w:r>
              <w:rPr>
                <w:lang w:val="en-GB"/>
              </w:rPr>
              <w:t xml:space="preserve"> The Optional Protocol establishing an individual complaints mechanism for economic, social and cultural rights has been adopted in 2008, but is not yet in force.</w:t>
            </w:r>
            <w:r w:rsidRPr="007D1DD3">
              <w:rPr>
                <w:lang w:val="en-GB"/>
              </w:rPr>
              <w:t xml:space="preserve"> Neither</w:t>
            </w:r>
            <w:r>
              <w:rPr>
                <w:lang w:val="en-GB"/>
              </w:rPr>
              <w:t xml:space="preserve"> does</w:t>
            </w:r>
            <w:r w:rsidRPr="007D1DD3">
              <w:rPr>
                <w:lang w:val="en-GB"/>
              </w:rPr>
              <w:t xml:space="preserve"> the Convention on </w:t>
            </w:r>
            <w:r>
              <w:rPr>
                <w:lang w:val="en-GB"/>
              </w:rPr>
              <w:t xml:space="preserve">the </w:t>
            </w:r>
            <w:r w:rsidRPr="007D1DD3">
              <w:rPr>
                <w:lang w:val="en-GB"/>
              </w:rPr>
              <w:t>Rights</w:t>
            </w:r>
            <w:r>
              <w:rPr>
                <w:lang w:val="en-GB"/>
              </w:rPr>
              <w:t xml:space="preserve"> of the Child</w:t>
            </w:r>
            <w:r w:rsidRPr="007D1DD3">
              <w:rPr>
                <w:lang w:val="en-GB"/>
              </w:rPr>
              <w:t xml:space="preserve"> provide</w:t>
            </w:r>
            <w:r>
              <w:rPr>
                <w:lang w:val="en-GB"/>
              </w:rPr>
              <w:t xml:space="preserve"> for</w:t>
            </w:r>
            <w:r w:rsidRPr="007D1DD3">
              <w:rPr>
                <w:lang w:val="en-GB"/>
              </w:rPr>
              <w:t xml:space="preserve"> a complaint</w:t>
            </w:r>
            <w:r>
              <w:rPr>
                <w:lang w:val="en-GB"/>
              </w:rPr>
              <w:t>s</w:t>
            </w:r>
            <w:r w:rsidRPr="007D1DD3">
              <w:rPr>
                <w:lang w:val="en-GB"/>
              </w:rPr>
              <w:t xml:space="preserve"> procedure.</w:t>
            </w:r>
          </w:p>
          <w:p w:rsidR="0034169D" w:rsidRDefault="0034169D" w:rsidP="006B4B67">
            <w:pPr>
              <w:pStyle w:val="Textkrper"/>
              <w:rPr>
                <w:lang w:val="en-GB"/>
              </w:rPr>
            </w:pPr>
            <w:r>
              <w:rPr>
                <w:lang w:val="en-GB"/>
              </w:rPr>
              <w:t>Apart from the UN system, some major human rights conventions in a regional context provide complaints procedures:</w:t>
            </w:r>
          </w:p>
          <w:p w:rsidR="0034169D" w:rsidRDefault="0034169D" w:rsidP="002900D7">
            <w:pPr>
              <w:pStyle w:val="Textkrper"/>
              <w:numPr>
                <w:ilvl w:val="0"/>
                <w:numId w:val="6"/>
              </w:numPr>
              <w:rPr>
                <w:lang w:val="en-GB"/>
              </w:rPr>
            </w:pPr>
            <w:r>
              <w:rPr>
                <w:lang w:val="en-GB"/>
              </w:rPr>
              <w:t>the European Convention on Human Rights and Fundamental Freedoms;</w:t>
            </w:r>
          </w:p>
          <w:p w:rsidR="0034169D" w:rsidRDefault="0034169D" w:rsidP="002900D7">
            <w:pPr>
              <w:pStyle w:val="Textkrper"/>
              <w:numPr>
                <w:ilvl w:val="0"/>
                <w:numId w:val="6"/>
              </w:numPr>
              <w:rPr>
                <w:lang w:val="en-GB"/>
              </w:rPr>
            </w:pPr>
            <w:r w:rsidRPr="007D1DD3">
              <w:rPr>
                <w:lang w:val="en-GB"/>
              </w:rPr>
              <w:t xml:space="preserve"> </w:t>
            </w:r>
            <w:r>
              <w:rPr>
                <w:lang w:val="en-GB"/>
              </w:rPr>
              <w:t>the American Convention on Human Rights;</w:t>
            </w:r>
          </w:p>
          <w:p w:rsidR="0034169D" w:rsidRPr="007D1DD3" w:rsidRDefault="0034169D" w:rsidP="002900D7">
            <w:pPr>
              <w:pStyle w:val="Textkrper"/>
              <w:numPr>
                <w:ilvl w:val="0"/>
                <w:numId w:val="6"/>
              </w:numPr>
              <w:rPr>
                <w:lang w:val="en-GB"/>
              </w:rPr>
            </w:pPr>
            <w:r>
              <w:rPr>
                <w:lang w:val="en-GB"/>
              </w:rPr>
              <w:t>The African Charter on Human and People’s Rights.</w:t>
            </w:r>
          </w:p>
        </w:tc>
        <w:tc>
          <w:tcPr>
            <w:tcW w:w="2552" w:type="dxa"/>
          </w:tcPr>
          <w:p w:rsidR="0034169D" w:rsidRDefault="0034169D" w:rsidP="00EE7B0B">
            <w:pPr>
              <w:pStyle w:val="Listenabsatz"/>
              <w:numPr>
                <w:ilvl w:val="0"/>
                <w:numId w:val="8"/>
              </w:numPr>
              <w:spacing w:after="0" w:line="240" w:lineRule="auto"/>
              <w:ind w:left="318" w:hanging="284"/>
              <w:rPr>
                <w:rFonts w:cs="Calibri"/>
                <w:i/>
                <w:sz w:val="20"/>
                <w:szCs w:val="20"/>
                <w:lang w:val="en-US"/>
              </w:rPr>
            </w:pPr>
            <w:r>
              <w:rPr>
                <w:rFonts w:cs="Calibri"/>
                <w:i/>
                <w:sz w:val="20"/>
                <w:szCs w:val="20"/>
                <w:lang w:val="en-US"/>
              </w:rPr>
              <w:t>See art. 11 – Art. 16</w:t>
            </w:r>
          </w:p>
          <w:p w:rsidR="0034169D" w:rsidRPr="00EE7B0B" w:rsidRDefault="0034169D" w:rsidP="00EE7B0B">
            <w:pPr>
              <w:spacing w:after="0" w:line="240" w:lineRule="auto"/>
              <w:rPr>
                <w:rFonts w:cs="Calibri"/>
                <w:i/>
                <w:sz w:val="32"/>
                <w:szCs w:val="32"/>
                <w:lang w:val="en-US"/>
              </w:rPr>
            </w:pPr>
          </w:p>
          <w:p w:rsidR="00564BC7" w:rsidRDefault="00564BC7" w:rsidP="00564BC7">
            <w:pPr>
              <w:pStyle w:val="Listenabsatz"/>
              <w:spacing w:after="0" w:line="240" w:lineRule="auto"/>
              <w:ind w:left="318"/>
              <w:rPr>
                <w:rFonts w:cs="Calibri"/>
                <w:i/>
                <w:sz w:val="20"/>
                <w:szCs w:val="20"/>
                <w:lang w:val="en-US"/>
              </w:rPr>
            </w:pPr>
          </w:p>
          <w:p w:rsidR="00564BC7" w:rsidRPr="00564BC7" w:rsidRDefault="00564BC7" w:rsidP="00564BC7">
            <w:pPr>
              <w:pStyle w:val="Listenabsatz"/>
              <w:rPr>
                <w:rFonts w:cs="Calibri"/>
                <w:i/>
                <w:sz w:val="20"/>
                <w:szCs w:val="20"/>
                <w:lang w:val="en-US"/>
              </w:rPr>
            </w:pPr>
          </w:p>
          <w:p w:rsidR="00564BC7" w:rsidRDefault="00564BC7" w:rsidP="00564BC7">
            <w:pPr>
              <w:pStyle w:val="Listenabsatz"/>
              <w:spacing w:after="0" w:line="240" w:lineRule="auto"/>
              <w:ind w:left="318"/>
              <w:rPr>
                <w:rFonts w:cs="Calibri"/>
                <w:i/>
                <w:sz w:val="20"/>
                <w:szCs w:val="20"/>
                <w:lang w:val="en-US"/>
              </w:rPr>
            </w:pPr>
          </w:p>
          <w:p w:rsidR="0034169D" w:rsidRDefault="0034169D" w:rsidP="00EE7B0B">
            <w:pPr>
              <w:pStyle w:val="Listenabsatz"/>
              <w:numPr>
                <w:ilvl w:val="0"/>
                <w:numId w:val="8"/>
              </w:numPr>
              <w:spacing w:after="0" w:line="240" w:lineRule="auto"/>
              <w:ind w:left="318" w:hanging="284"/>
              <w:rPr>
                <w:rFonts w:cs="Calibri"/>
                <w:i/>
                <w:sz w:val="20"/>
                <w:szCs w:val="20"/>
                <w:lang w:val="en-US"/>
              </w:rPr>
            </w:pPr>
            <w:r>
              <w:rPr>
                <w:rFonts w:cs="Calibri"/>
                <w:i/>
                <w:sz w:val="20"/>
                <w:szCs w:val="20"/>
                <w:lang w:val="en-US"/>
              </w:rPr>
              <w:t>Read Art. 20-23</w:t>
            </w: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EE7B0B">
            <w:pPr>
              <w:spacing w:after="0" w:line="240" w:lineRule="auto"/>
              <w:rPr>
                <w:rFonts w:cs="Calibri"/>
                <w:i/>
                <w:sz w:val="20"/>
                <w:szCs w:val="20"/>
                <w:lang w:val="en-US"/>
              </w:rPr>
            </w:pPr>
          </w:p>
          <w:p w:rsidR="0034169D" w:rsidRDefault="0034169D" w:rsidP="00642339">
            <w:pPr>
              <w:pStyle w:val="Listenabsatz"/>
              <w:numPr>
                <w:ilvl w:val="0"/>
                <w:numId w:val="8"/>
              </w:numPr>
              <w:spacing w:after="0" w:line="240" w:lineRule="auto"/>
              <w:ind w:left="318" w:hanging="284"/>
              <w:rPr>
                <w:rFonts w:cs="Calibri"/>
                <w:i/>
                <w:sz w:val="20"/>
                <w:szCs w:val="20"/>
                <w:lang w:val="en-US"/>
              </w:rPr>
            </w:pPr>
            <w:r>
              <w:rPr>
                <w:rFonts w:cs="Calibri"/>
                <w:i/>
                <w:sz w:val="20"/>
                <w:szCs w:val="20"/>
                <w:lang w:val="en-US"/>
              </w:rPr>
              <w:t>Read Art. 34</w:t>
            </w:r>
          </w:p>
          <w:p w:rsidR="0034169D" w:rsidRDefault="0034169D" w:rsidP="00642339">
            <w:pPr>
              <w:pStyle w:val="Listenabsatz"/>
              <w:spacing w:after="0" w:line="240" w:lineRule="auto"/>
              <w:ind w:left="34"/>
              <w:rPr>
                <w:rFonts w:cs="Calibri"/>
                <w:i/>
                <w:sz w:val="20"/>
                <w:szCs w:val="20"/>
                <w:lang w:val="en-US"/>
              </w:rPr>
            </w:pPr>
          </w:p>
          <w:p w:rsidR="0034169D" w:rsidRDefault="0034169D" w:rsidP="00642339">
            <w:pPr>
              <w:pStyle w:val="Listenabsatz"/>
              <w:spacing w:after="0" w:line="240" w:lineRule="auto"/>
              <w:ind w:left="34"/>
              <w:rPr>
                <w:rFonts w:cs="Calibri"/>
                <w:i/>
                <w:sz w:val="20"/>
                <w:szCs w:val="20"/>
                <w:lang w:val="en-US"/>
              </w:rPr>
            </w:pPr>
          </w:p>
          <w:p w:rsidR="0034169D" w:rsidRDefault="0034169D" w:rsidP="00642339">
            <w:pPr>
              <w:pStyle w:val="Listenabsatz"/>
              <w:numPr>
                <w:ilvl w:val="0"/>
                <w:numId w:val="8"/>
              </w:numPr>
              <w:spacing w:after="0" w:line="240" w:lineRule="auto"/>
              <w:ind w:left="318" w:hanging="284"/>
              <w:rPr>
                <w:rFonts w:cs="Calibri"/>
                <w:i/>
                <w:sz w:val="20"/>
                <w:szCs w:val="20"/>
                <w:lang w:val="en-US"/>
              </w:rPr>
            </w:pPr>
            <w:r>
              <w:rPr>
                <w:rFonts w:cs="Calibri"/>
                <w:i/>
                <w:sz w:val="20"/>
                <w:szCs w:val="20"/>
                <w:lang w:val="en-US"/>
              </w:rPr>
              <w:t>Read Art. 44</w:t>
            </w:r>
          </w:p>
          <w:p w:rsidR="0034169D" w:rsidRDefault="0034169D" w:rsidP="00642339">
            <w:pPr>
              <w:pStyle w:val="Listenabsatz"/>
              <w:spacing w:after="0" w:line="240" w:lineRule="auto"/>
              <w:ind w:left="34"/>
              <w:rPr>
                <w:rFonts w:cs="Calibri"/>
                <w:i/>
                <w:sz w:val="20"/>
                <w:szCs w:val="20"/>
                <w:lang w:val="en-US"/>
              </w:rPr>
            </w:pPr>
          </w:p>
          <w:p w:rsidR="0034169D" w:rsidRDefault="0034169D" w:rsidP="00642339">
            <w:pPr>
              <w:pStyle w:val="Listenabsatz"/>
              <w:numPr>
                <w:ilvl w:val="0"/>
                <w:numId w:val="8"/>
              </w:numPr>
              <w:spacing w:after="0" w:line="240" w:lineRule="auto"/>
              <w:ind w:left="318" w:hanging="284"/>
              <w:rPr>
                <w:rFonts w:cs="Calibri"/>
                <w:i/>
                <w:sz w:val="20"/>
                <w:szCs w:val="20"/>
                <w:lang w:val="en-US"/>
              </w:rPr>
            </w:pPr>
            <w:r>
              <w:rPr>
                <w:rFonts w:cs="Calibri"/>
                <w:i/>
                <w:sz w:val="20"/>
                <w:szCs w:val="20"/>
                <w:lang w:val="en-US"/>
              </w:rPr>
              <w:t>Read Art. 55</w:t>
            </w:r>
          </w:p>
          <w:p w:rsidR="0034169D" w:rsidRPr="00EE7B0B" w:rsidRDefault="0034169D" w:rsidP="00EE7B0B">
            <w:pPr>
              <w:spacing w:after="0" w:line="240" w:lineRule="auto"/>
              <w:rPr>
                <w:rFonts w:cs="Calibri"/>
                <w:i/>
                <w:sz w:val="20"/>
                <w:szCs w:val="20"/>
                <w:lang w:val="en-US"/>
              </w:rPr>
            </w:pPr>
          </w:p>
        </w:tc>
      </w:tr>
      <w:tr w:rsidR="0034169D" w:rsidRPr="00BB3FBE" w:rsidTr="006B4B67">
        <w:tc>
          <w:tcPr>
            <w:tcW w:w="7337" w:type="dxa"/>
          </w:tcPr>
          <w:p w:rsidR="0034169D" w:rsidRDefault="0034169D" w:rsidP="007D1DD3">
            <w:pPr>
              <w:pStyle w:val="Textkrper"/>
              <w:rPr>
                <w:lang w:val="en-GB"/>
              </w:rPr>
            </w:pPr>
            <w:r w:rsidRPr="007D1DD3">
              <w:rPr>
                <w:lang w:val="en-GB"/>
              </w:rPr>
              <w:t>Compared to reporting</w:t>
            </w:r>
            <w:r>
              <w:rPr>
                <w:lang w:val="en-GB"/>
              </w:rPr>
              <w:t xml:space="preserve"> procedures, </w:t>
            </w:r>
            <w:r w:rsidRPr="007D1DD3">
              <w:rPr>
                <w:lang w:val="en-GB"/>
              </w:rPr>
              <w:t>complaint</w:t>
            </w:r>
            <w:r>
              <w:rPr>
                <w:lang w:val="en-GB"/>
              </w:rPr>
              <w:t xml:space="preserve">s procedures remain </w:t>
            </w:r>
            <w:r w:rsidRPr="007D1DD3">
              <w:rPr>
                <w:lang w:val="en-GB"/>
              </w:rPr>
              <w:t xml:space="preserve">an exception in the international fight against violations of </w:t>
            </w:r>
            <w:r>
              <w:rPr>
                <w:lang w:val="en-GB"/>
              </w:rPr>
              <w:t>h</w:t>
            </w:r>
            <w:r w:rsidRPr="007D1DD3">
              <w:rPr>
                <w:lang w:val="en-GB"/>
              </w:rPr>
              <w:t xml:space="preserve">uman </w:t>
            </w:r>
            <w:r>
              <w:rPr>
                <w:lang w:val="en-GB"/>
              </w:rPr>
              <w:t>r</w:t>
            </w:r>
            <w:r w:rsidRPr="007D1DD3">
              <w:rPr>
                <w:lang w:val="en-GB"/>
              </w:rPr>
              <w:t>ights. One of the reasons is</w:t>
            </w:r>
            <w:r>
              <w:rPr>
                <w:lang w:val="en-GB"/>
              </w:rPr>
              <w:t xml:space="preserve"> that they tend to be optional, meaning that </w:t>
            </w:r>
            <w:r w:rsidRPr="007D1DD3">
              <w:rPr>
                <w:lang w:val="en-GB"/>
              </w:rPr>
              <w:t>an additional acknowledgement by the States is required</w:t>
            </w:r>
            <w:r>
              <w:rPr>
                <w:lang w:val="en-GB"/>
              </w:rPr>
              <w:t xml:space="preserve"> (like a special declaration or even ratification)</w:t>
            </w:r>
            <w:r w:rsidRPr="007D1DD3">
              <w:rPr>
                <w:lang w:val="en-GB"/>
              </w:rPr>
              <w:t>.</w:t>
            </w:r>
            <w:r>
              <w:rPr>
                <w:lang w:val="en-GB"/>
              </w:rPr>
              <w:t xml:space="preserve"> A noticeable exception is the individual complaint procedure under the European Convention, which is no longer an optional procedure but an obligatory one for all Contracting Parties.</w:t>
            </w:r>
          </w:p>
          <w:p w:rsidR="0034169D" w:rsidRDefault="0034169D" w:rsidP="007D1DD3">
            <w:pPr>
              <w:pStyle w:val="Textkrper"/>
              <w:rPr>
                <w:lang w:val="en-GB"/>
              </w:rPr>
            </w:pPr>
            <w:r>
              <w:rPr>
                <w:lang w:val="en-GB"/>
              </w:rPr>
              <w:t>In the case of optional complaint procedures, it is clear that states retain the power not to accept them and thus bar individuals and groups from submitting complaints to the monitoring body. Another weakness of individual complaint procedures is that they may take very long before ending in a conclusion or a judgment. Proceedings that last 3 to 5 years, on top of lengthy national proceedings, are no exceptions.</w:t>
            </w:r>
          </w:p>
          <w:p w:rsidR="0034169D" w:rsidRPr="00EE24BF" w:rsidRDefault="0034169D" w:rsidP="007D1DD3">
            <w:pPr>
              <w:pStyle w:val="Textkrper"/>
              <w:rPr>
                <w:lang w:val="en-US"/>
              </w:rPr>
            </w:pPr>
            <w:r>
              <w:rPr>
                <w:lang w:val="en-GB"/>
              </w:rPr>
              <w:t xml:space="preserve">However, it should be clear that </w:t>
            </w:r>
            <w:r w:rsidRPr="007D1DD3">
              <w:rPr>
                <w:lang w:val="en-GB"/>
              </w:rPr>
              <w:t>complaint</w:t>
            </w:r>
            <w:r>
              <w:rPr>
                <w:lang w:val="en-GB"/>
              </w:rPr>
              <w:t>s</w:t>
            </w:r>
            <w:r w:rsidRPr="007D1DD3">
              <w:rPr>
                <w:lang w:val="en-GB"/>
              </w:rPr>
              <w:t xml:space="preserve"> </w:t>
            </w:r>
            <w:r>
              <w:rPr>
                <w:lang w:val="en-GB"/>
              </w:rPr>
              <w:t>procedures, in particular the ones allowing individuals to bring their grievances to an international body, result in very specific decisions that may have far-reaching consequences for the human rights situation in states. Certainly the judgments of the European Court of Human Rights and the Inter-American Court of Human Rights are watched and read with great interest by legal professionals and human rights defenders all over the world.</w:t>
            </w:r>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tc>
      </w:tr>
      <w:tr w:rsidR="0034169D" w:rsidRPr="002A3956" w:rsidTr="006B4B67">
        <w:tc>
          <w:tcPr>
            <w:tcW w:w="7337" w:type="dxa"/>
          </w:tcPr>
          <w:p w:rsidR="0034169D" w:rsidRPr="00C702EA" w:rsidRDefault="0034169D" w:rsidP="007D1DD3">
            <w:pPr>
              <w:pStyle w:val="berschrift2"/>
              <w:rPr>
                <w:lang w:val="en-US"/>
              </w:rPr>
            </w:pPr>
            <w:bookmarkStart w:id="8" w:name="_Toc324840134"/>
            <w:r w:rsidRPr="00C702EA">
              <w:rPr>
                <w:lang w:val="en-US"/>
              </w:rPr>
              <w:t>3.3 Inquiry Procedures</w:t>
            </w:r>
            <w:bookmarkEnd w:id="8"/>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tc>
      </w:tr>
      <w:tr w:rsidR="0034169D" w:rsidRPr="00BB3FBE" w:rsidTr="006B4B67">
        <w:tc>
          <w:tcPr>
            <w:tcW w:w="7337" w:type="dxa"/>
          </w:tcPr>
          <w:p w:rsidR="0034169D" w:rsidRDefault="0034169D" w:rsidP="00564BC7">
            <w:pPr>
              <w:spacing w:line="276" w:lineRule="auto"/>
              <w:rPr>
                <w:lang w:val="en-GB"/>
              </w:rPr>
            </w:pPr>
            <w:r w:rsidRPr="002F619C">
              <w:rPr>
                <w:lang w:val="en-GB"/>
              </w:rPr>
              <w:t xml:space="preserve">A third form of international </w:t>
            </w:r>
            <w:r>
              <w:rPr>
                <w:lang w:val="en-GB"/>
              </w:rPr>
              <w:t xml:space="preserve">monitoring </w:t>
            </w:r>
            <w:r w:rsidRPr="002F619C">
              <w:rPr>
                <w:lang w:val="en-GB"/>
              </w:rPr>
              <w:t>can be summarised under ‘inquiry procedures’. In the narrow sense, this term only applies to a limited number of</w:t>
            </w:r>
            <w:r>
              <w:rPr>
                <w:lang w:val="en-GB"/>
              </w:rPr>
              <w:t xml:space="preserve"> committees (treaty </w:t>
            </w:r>
            <w:r w:rsidRPr="002F619C">
              <w:rPr>
                <w:lang w:val="en-GB"/>
              </w:rPr>
              <w:t>bodies</w:t>
            </w:r>
            <w:r>
              <w:rPr>
                <w:lang w:val="en-GB"/>
              </w:rPr>
              <w:t>)</w:t>
            </w:r>
            <w:r w:rsidRPr="002F619C">
              <w:rPr>
                <w:lang w:val="en-GB"/>
              </w:rPr>
              <w:t xml:space="preserve"> that have the possibility to visit States </w:t>
            </w:r>
            <w:r>
              <w:rPr>
                <w:lang w:val="en-GB"/>
              </w:rPr>
              <w:t xml:space="preserve">Parties </w:t>
            </w:r>
            <w:r w:rsidRPr="002F619C">
              <w:rPr>
                <w:lang w:val="en-GB"/>
              </w:rPr>
              <w:t xml:space="preserve">where there are indications of severe violations of the treaty. In particular, the Committee Against Torture and the Committee on the Elimination of Discrimination Against Women </w:t>
            </w:r>
            <w:r>
              <w:rPr>
                <w:lang w:val="en-GB"/>
              </w:rPr>
              <w:t xml:space="preserve">in the United Nations may, at </w:t>
            </w:r>
            <w:r w:rsidRPr="002F619C">
              <w:rPr>
                <w:lang w:val="en-GB"/>
              </w:rPr>
              <w:t xml:space="preserve">their own initiative, initiate inquiries if they have received information </w:t>
            </w:r>
            <w:r>
              <w:rPr>
                <w:lang w:val="en-GB"/>
              </w:rPr>
              <w:t>on</w:t>
            </w:r>
            <w:r w:rsidRPr="002F619C">
              <w:rPr>
                <w:lang w:val="en-GB"/>
              </w:rPr>
              <w:t xml:space="preserve"> se</w:t>
            </w:r>
            <w:r>
              <w:rPr>
                <w:lang w:val="en-GB"/>
              </w:rPr>
              <w:t>rious or systematic violations. The same applies to the European Committee for the Prevention of Torture, a supervisory body within the Council of Europe.</w:t>
            </w:r>
          </w:p>
          <w:p w:rsidR="0034169D" w:rsidRDefault="0034169D" w:rsidP="00564BC7">
            <w:pPr>
              <w:spacing w:line="276" w:lineRule="auto"/>
              <w:rPr>
                <w:lang w:val="en-GB"/>
              </w:rPr>
            </w:pPr>
            <w:r>
              <w:rPr>
                <w:lang w:val="en-GB"/>
              </w:rPr>
              <w:t xml:space="preserve">More important, however, are the so-called Special Procedures, which can also be said to constitute inquiry procedures. </w:t>
            </w:r>
            <w:r w:rsidRPr="00546BEA">
              <w:rPr>
                <w:lang w:val="en-GB"/>
              </w:rPr>
              <w:t xml:space="preserve">Some of these procedures focus on different forms of </w:t>
            </w:r>
            <w:r>
              <w:rPr>
                <w:lang w:val="en-GB"/>
              </w:rPr>
              <w:t>h</w:t>
            </w:r>
            <w:r w:rsidRPr="00546BEA">
              <w:rPr>
                <w:lang w:val="en-GB"/>
              </w:rPr>
              <w:t xml:space="preserve">uman </w:t>
            </w:r>
            <w:r>
              <w:rPr>
                <w:lang w:val="en-GB"/>
              </w:rPr>
              <w:t>r</w:t>
            </w:r>
            <w:r w:rsidRPr="00546BEA">
              <w:rPr>
                <w:lang w:val="en-GB"/>
              </w:rPr>
              <w:t>ights violations in one specific country (‘country-</w:t>
            </w:r>
            <w:r>
              <w:rPr>
                <w:lang w:val="en-GB"/>
              </w:rPr>
              <w:t xml:space="preserve">specific </w:t>
            </w:r>
            <w:r w:rsidRPr="00546BEA">
              <w:rPr>
                <w:lang w:val="en-GB"/>
              </w:rPr>
              <w:t xml:space="preserve">procedures’), others focus on specific types of </w:t>
            </w:r>
            <w:r>
              <w:rPr>
                <w:lang w:val="en-GB"/>
              </w:rPr>
              <w:t>h</w:t>
            </w:r>
            <w:r w:rsidRPr="00546BEA">
              <w:rPr>
                <w:lang w:val="en-GB"/>
              </w:rPr>
              <w:t xml:space="preserve">uman </w:t>
            </w:r>
            <w:r>
              <w:rPr>
                <w:lang w:val="en-GB"/>
              </w:rPr>
              <w:t>r</w:t>
            </w:r>
            <w:r w:rsidRPr="00546BEA">
              <w:rPr>
                <w:lang w:val="en-GB"/>
              </w:rPr>
              <w:t xml:space="preserve">ights violations </w:t>
            </w:r>
            <w:r>
              <w:rPr>
                <w:lang w:val="en-GB"/>
              </w:rPr>
              <w:t>worldwide</w:t>
            </w:r>
            <w:r w:rsidRPr="00546BEA">
              <w:rPr>
                <w:lang w:val="en-GB"/>
              </w:rPr>
              <w:t xml:space="preserve"> (‘them</w:t>
            </w:r>
            <w:r>
              <w:rPr>
                <w:lang w:val="en-GB"/>
              </w:rPr>
              <w:t>atic</w:t>
            </w:r>
            <w:r w:rsidRPr="00546BEA">
              <w:rPr>
                <w:lang w:val="en-GB"/>
              </w:rPr>
              <w:t xml:space="preserve"> procedures’). Some procedures are public, others are confidential. There are also differences in structure: one can distinguish working groups, special rapporteurs, special representatives and independent experts. Although there are many differences within these procedures</w:t>
            </w:r>
            <w:r>
              <w:rPr>
                <w:lang w:val="en-GB"/>
              </w:rPr>
              <w:t>,</w:t>
            </w:r>
            <w:r w:rsidRPr="00546BEA">
              <w:rPr>
                <w:lang w:val="en-GB"/>
              </w:rPr>
              <w:t xml:space="preserve"> they all have one thing in common: </w:t>
            </w:r>
            <w:r>
              <w:rPr>
                <w:lang w:val="en-GB"/>
              </w:rPr>
              <w:t xml:space="preserve">they all aim at quick reactions (by telephone, fax, email or unexpected visits) to </w:t>
            </w:r>
            <w:r w:rsidRPr="00546BEA">
              <w:rPr>
                <w:lang w:val="en-GB"/>
              </w:rPr>
              <w:t>urgent problems</w:t>
            </w:r>
            <w:r>
              <w:rPr>
                <w:lang w:val="en-GB"/>
              </w:rPr>
              <w:t xml:space="preserve"> when human rights violations are likely to occur, and i</w:t>
            </w:r>
            <w:r w:rsidRPr="00546BEA">
              <w:rPr>
                <w:lang w:val="en-GB"/>
              </w:rPr>
              <w:t xml:space="preserve">n some cases </w:t>
            </w:r>
            <w:r>
              <w:rPr>
                <w:lang w:val="en-GB"/>
              </w:rPr>
              <w:t xml:space="preserve">they establish </w:t>
            </w:r>
            <w:r w:rsidRPr="00546BEA">
              <w:rPr>
                <w:lang w:val="en-GB"/>
              </w:rPr>
              <w:t>a proactive approach</w:t>
            </w:r>
            <w:r>
              <w:rPr>
                <w:lang w:val="en-GB"/>
              </w:rPr>
              <w:t xml:space="preserve"> to preventing violations from taking place. In the area of torture and ill-treatment the important role of the UN Special Rapporteur on Torture cannot be overestimated.</w:t>
            </w:r>
          </w:p>
        </w:tc>
        <w:tc>
          <w:tcPr>
            <w:tcW w:w="2552" w:type="dxa"/>
          </w:tcPr>
          <w:p w:rsidR="0034169D" w:rsidRPr="004D67C9" w:rsidRDefault="0034169D" w:rsidP="006B4B67">
            <w:pPr>
              <w:spacing w:after="0" w:line="240" w:lineRule="auto"/>
              <w:rPr>
                <w:rFonts w:cs="Calibri"/>
                <w:i/>
                <w:sz w:val="20"/>
                <w:szCs w:val="20"/>
                <w:lang w:val="en-US"/>
              </w:rPr>
            </w:pPr>
          </w:p>
          <w:p w:rsidR="0034169D" w:rsidRDefault="0034169D" w:rsidP="006B4B67">
            <w:pPr>
              <w:pStyle w:val="Listenabsatz"/>
              <w:spacing w:after="0" w:line="240" w:lineRule="auto"/>
              <w:ind w:left="403"/>
              <w:rPr>
                <w:rFonts w:cs="Calibri"/>
                <w:i/>
                <w:sz w:val="20"/>
                <w:szCs w:val="20"/>
                <w:lang w:val="en-US"/>
              </w:rPr>
            </w:pPr>
          </w:p>
          <w:p w:rsidR="0034169D" w:rsidRDefault="0034169D" w:rsidP="006B4B67">
            <w:pPr>
              <w:pStyle w:val="Listenabsatz"/>
              <w:spacing w:after="0" w:line="240" w:lineRule="auto"/>
              <w:ind w:left="403"/>
              <w:rPr>
                <w:rFonts w:cs="Calibri"/>
                <w:i/>
                <w:sz w:val="20"/>
                <w:szCs w:val="20"/>
                <w:lang w:val="en-US"/>
              </w:rPr>
            </w:pPr>
          </w:p>
          <w:p w:rsidR="0034169D" w:rsidRDefault="0034169D" w:rsidP="006B4B67">
            <w:pPr>
              <w:pStyle w:val="Listenabsatz"/>
              <w:spacing w:after="0" w:line="240" w:lineRule="auto"/>
              <w:ind w:left="403"/>
              <w:rPr>
                <w:rFonts w:cs="Calibri"/>
                <w:i/>
                <w:sz w:val="20"/>
                <w:szCs w:val="20"/>
                <w:lang w:val="en-US"/>
              </w:rPr>
            </w:pPr>
          </w:p>
          <w:p w:rsidR="0034169D" w:rsidRDefault="0034169D" w:rsidP="006B4B67">
            <w:pPr>
              <w:pStyle w:val="Listenabsatz"/>
              <w:spacing w:after="0" w:line="240" w:lineRule="auto"/>
              <w:ind w:left="403"/>
              <w:rPr>
                <w:rFonts w:cs="Calibri"/>
                <w:i/>
                <w:sz w:val="20"/>
                <w:szCs w:val="20"/>
                <w:lang w:val="en-US"/>
              </w:rPr>
            </w:pPr>
          </w:p>
          <w:p w:rsidR="0034169D" w:rsidRDefault="0034169D" w:rsidP="006B4B67">
            <w:pPr>
              <w:pStyle w:val="Listenabsatz"/>
              <w:spacing w:after="0" w:line="240" w:lineRule="auto"/>
              <w:ind w:left="403"/>
              <w:rPr>
                <w:rFonts w:cs="Calibri"/>
                <w:i/>
                <w:sz w:val="20"/>
                <w:szCs w:val="20"/>
                <w:lang w:val="en-US"/>
              </w:rPr>
            </w:pPr>
          </w:p>
          <w:p w:rsidR="0034169D" w:rsidRDefault="0034169D" w:rsidP="006B4B67">
            <w:pPr>
              <w:pStyle w:val="Listenabsatz"/>
              <w:spacing w:after="0" w:line="240" w:lineRule="auto"/>
              <w:ind w:left="403"/>
              <w:rPr>
                <w:rFonts w:cs="Calibri"/>
                <w:i/>
                <w:sz w:val="20"/>
                <w:szCs w:val="20"/>
                <w:lang w:val="en-US"/>
              </w:rPr>
            </w:pPr>
          </w:p>
          <w:p w:rsidR="0034169D" w:rsidRPr="004D67C9" w:rsidRDefault="0034169D" w:rsidP="006B4B67">
            <w:pPr>
              <w:pStyle w:val="Listenabsatz"/>
              <w:spacing w:after="0" w:line="240" w:lineRule="auto"/>
              <w:ind w:left="403"/>
              <w:rPr>
                <w:rFonts w:cs="Calibri"/>
                <w:i/>
                <w:sz w:val="20"/>
                <w:szCs w:val="20"/>
                <w:lang w:val="en-US"/>
              </w:rPr>
            </w:pPr>
          </w:p>
        </w:tc>
        <w:bookmarkStart w:id="9" w:name="_GoBack"/>
        <w:bookmarkEnd w:id="9"/>
      </w:tr>
      <w:tr w:rsidR="0034169D" w:rsidRPr="00BB3FBE" w:rsidTr="006B4B67">
        <w:tc>
          <w:tcPr>
            <w:tcW w:w="7337" w:type="dxa"/>
          </w:tcPr>
          <w:p w:rsidR="0034169D" w:rsidRDefault="0034169D" w:rsidP="00564BC7">
            <w:pPr>
              <w:pStyle w:val="Textkrper"/>
              <w:rPr>
                <w:lang w:val="en-GB"/>
              </w:rPr>
            </w:pPr>
            <w:r>
              <w:rPr>
                <w:lang w:val="en-GB"/>
              </w:rPr>
              <w:t xml:space="preserve">Precisely the flexibility of their mandate and working procedures constitutes the main </w:t>
            </w:r>
            <w:r w:rsidRPr="00546BEA">
              <w:rPr>
                <w:lang w:val="en-GB"/>
              </w:rPr>
              <w:t xml:space="preserve">strength of these </w:t>
            </w:r>
            <w:r>
              <w:rPr>
                <w:lang w:val="en-GB"/>
              </w:rPr>
              <w:t xml:space="preserve">inquiry </w:t>
            </w:r>
            <w:r w:rsidRPr="00546BEA">
              <w:rPr>
                <w:lang w:val="en-GB"/>
              </w:rPr>
              <w:t>procedures</w:t>
            </w:r>
            <w:r>
              <w:rPr>
                <w:lang w:val="en-GB"/>
              </w:rPr>
              <w:t xml:space="preserve">. </w:t>
            </w:r>
            <w:r w:rsidRPr="00546BEA">
              <w:rPr>
                <w:lang w:val="en-GB"/>
              </w:rPr>
              <w:t xml:space="preserve">This flexibility </w:t>
            </w:r>
            <w:r>
              <w:rPr>
                <w:lang w:val="en-GB"/>
              </w:rPr>
              <w:t xml:space="preserve">allows </w:t>
            </w:r>
            <w:r w:rsidRPr="00546BEA">
              <w:rPr>
                <w:lang w:val="en-GB"/>
              </w:rPr>
              <w:t>the</w:t>
            </w:r>
            <w:r>
              <w:rPr>
                <w:lang w:val="en-GB"/>
              </w:rPr>
              <w:t xml:space="preserve">m </w:t>
            </w:r>
            <w:r w:rsidRPr="00546BEA">
              <w:rPr>
                <w:lang w:val="en-GB"/>
              </w:rPr>
              <w:t>to adjust their working methods to the</w:t>
            </w:r>
            <w:r>
              <w:rPr>
                <w:lang w:val="en-GB"/>
              </w:rPr>
              <w:t xml:space="preserve"> very concrete and urgent</w:t>
            </w:r>
            <w:r w:rsidRPr="00546BEA">
              <w:rPr>
                <w:lang w:val="en-GB"/>
              </w:rPr>
              <w:t xml:space="preserve"> problems they are confronted with.</w:t>
            </w:r>
            <w:r>
              <w:rPr>
                <w:lang w:val="en-GB"/>
              </w:rPr>
              <w:t xml:space="preserve"> </w:t>
            </w:r>
            <w:r w:rsidRPr="00761F91">
              <w:rPr>
                <w:lang w:val="en-GB"/>
              </w:rPr>
              <w:t>In addition,</w:t>
            </w:r>
            <w:r w:rsidRPr="00546BEA">
              <w:rPr>
                <w:lang w:val="en-GB"/>
              </w:rPr>
              <w:t xml:space="preserve"> no preceding ratification or approval by the </w:t>
            </w:r>
            <w:r>
              <w:rPr>
                <w:lang w:val="en-GB"/>
              </w:rPr>
              <w:t>States</w:t>
            </w:r>
            <w:r w:rsidRPr="00546BEA">
              <w:rPr>
                <w:lang w:val="en-GB"/>
              </w:rPr>
              <w:t xml:space="preserve"> is necessary, since </w:t>
            </w:r>
            <w:r>
              <w:rPr>
                <w:lang w:val="en-GB"/>
              </w:rPr>
              <w:t>the Special Procedures have a mandate that covers</w:t>
            </w:r>
            <w:r w:rsidRPr="00546BEA">
              <w:rPr>
                <w:lang w:val="en-GB"/>
              </w:rPr>
              <w:t xml:space="preserve"> all Member States of the U</w:t>
            </w:r>
            <w:r>
              <w:rPr>
                <w:lang w:val="en-GB"/>
              </w:rPr>
              <w:t>nited Nations or the corresponding regional system like the Organisation of American States or the African Unity.</w:t>
            </w:r>
          </w:p>
          <w:p w:rsidR="0034169D" w:rsidRDefault="0034169D" w:rsidP="00564BC7">
            <w:pPr>
              <w:pStyle w:val="Textkrper"/>
              <w:rPr>
                <w:lang w:val="en-GB"/>
              </w:rPr>
            </w:pPr>
            <w:r>
              <w:rPr>
                <w:lang w:val="en-GB"/>
              </w:rPr>
              <w:t xml:space="preserve">Nevertheless, inquire procedures also possess </w:t>
            </w:r>
            <w:r w:rsidRPr="00546BEA">
              <w:rPr>
                <w:lang w:val="en-GB"/>
              </w:rPr>
              <w:t>weakness</w:t>
            </w:r>
            <w:r>
              <w:rPr>
                <w:lang w:val="en-GB"/>
              </w:rPr>
              <w:t>es. Some can only enter into operation if they have an invitation from the States concerned in order to conduct their inquiries. Additionally, inquiry procedures are often limited in terms of resources and at times under serious political pressure from States as well as from their parent body.</w:t>
            </w:r>
          </w:p>
        </w:tc>
        <w:tc>
          <w:tcPr>
            <w:tcW w:w="2552" w:type="dxa"/>
          </w:tcPr>
          <w:p w:rsidR="0034169D" w:rsidRDefault="0034169D">
            <w:pPr>
              <w:pStyle w:val="Listenabsatz"/>
              <w:spacing w:after="0" w:line="240" w:lineRule="auto"/>
              <w:ind w:left="318"/>
              <w:rPr>
                <w:rFonts w:cs="Calibri"/>
                <w:i/>
                <w:sz w:val="20"/>
                <w:szCs w:val="20"/>
                <w:lang w:val="en-US"/>
              </w:rPr>
            </w:pPr>
          </w:p>
        </w:tc>
      </w:tr>
      <w:tr w:rsidR="0034169D" w:rsidRPr="002A3956" w:rsidTr="006B4B67">
        <w:tc>
          <w:tcPr>
            <w:tcW w:w="7337" w:type="dxa"/>
          </w:tcPr>
          <w:p w:rsidR="0034169D" w:rsidRPr="00C702EA" w:rsidRDefault="0034169D" w:rsidP="00546BEA">
            <w:pPr>
              <w:pStyle w:val="berschrift2"/>
              <w:rPr>
                <w:lang w:val="en-US"/>
              </w:rPr>
            </w:pPr>
            <w:bookmarkStart w:id="10" w:name="_Toc324840135"/>
            <w:r w:rsidRPr="00C702EA">
              <w:rPr>
                <w:lang w:val="en-US"/>
              </w:rPr>
              <w:t>3.4 Other International Procedures</w:t>
            </w:r>
            <w:bookmarkEnd w:id="10"/>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p w:rsidR="0034169D" w:rsidRPr="00546BEA" w:rsidRDefault="0034169D" w:rsidP="00546BEA">
            <w:pPr>
              <w:spacing w:after="0" w:line="240" w:lineRule="auto"/>
              <w:rPr>
                <w:rFonts w:cs="Calibri"/>
                <w:i/>
                <w:sz w:val="20"/>
                <w:szCs w:val="20"/>
                <w:lang w:val="en-US"/>
              </w:rPr>
            </w:pPr>
          </w:p>
        </w:tc>
      </w:tr>
      <w:tr w:rsidR="0034169D" w:rsidRPr="00BB3FBE" w:rsidTr="006B4B67">
        <w:tc>
          <w:tcPr>
            <w:tcW w:w="7337" w:type="dxa"/>
          </w:tcPr>
          <w:p w:rsidR="0034169D" w:rsidRDefault="0034169D" w:rsidP="00564BC7">
            <w:pPr>
              <w:pStyle w:val="Textkrper"/>
              <w:rPr>
                <w:lang w:val="en-US"/>
              </w:rPr>
            </w:pPr>
            <w:r w:rsidRPr="00546BEA">
              <w:rPr>
                <w:lang w:val="en-GB"/>
              </w:rPr>
              <w:t xml:space="preserve">The above mentioned procedures were designed in the last decades to </w:t>
            </w:r>
            <w:r>
              <w:rPr>
                <w:lang w:val="en-GB"/>
              </w:rPr>
              <w:t>monitor</w:t>
            </w:r>
            <w:r w:rsidRPr="00546BEA">
              <w:rPr>
                <w:lang w:val="en-GB"/>
              </w:rPr>
              <w:t xml:space="preserve"> the </w:t>
            </w:r>
            <w:r>
              <w:rPr>
                <w:lang w:val="en-GB"/>
              </w:rPr>
              <w:t>obligations</w:t>
            </w:r>
            <w:r w:rsidRPr="00546BEA">
              <w:rPr>
                <w:lang w:val="en-GB"/>
              </w:rPr>
              <w:t xml:space="preserve"> of States with regard to </w:t>
            </w:r>
            <w:r>
              <w:rPr>
                <w:lang w:val="en-GB"/>
              </w:rPr>
              <w:t>h</w:t>
            </w:r>
            <w:r w:rsidRPr="00546BEA">
              <w:rPr>
                <w:lang w:val="en-GB"/>
              </w:rPr>
              <w:t xml:space="preserve">uman </w:t>
            </w:r>
            <w:r>
              <w:rPr>
                <w:lang w:val="en-GB"/>
              </w:rPr>
              <w:t>r</w:t>
            </w:r>
            <w:r w:rsidRPr="00546BEA">
              <w:rPr>
                <w:lang w:val="en-GB"/>
              </w:rPr>
              <w:t>ights. More recently</w:t>
            </w:r>
            <w:r>
              <w:rPr>
                <w:lang w:val="en-GB"/>
              </w:rPr>
              <w:t xml:space="preserve">, in the last twenty years, a number of interesting </w:t>
            </w:r>
            <w:r w:rsidRPr="00546BEA">
              <w:rPr>
                <w:lang w:val="en-GB"/>
              </w:rPr>
              <w:t xml:space="preserve">developments </w:t>
            </w:r>
            <w:r>
              <w:rPr>
                <w:lang w:val="en-GB"/>
              </w:rPr>
              <w:t xml:space="preserve">have taken place </w:t>
            </w:r>
            <w:r w:rsidRPr="00546BEA">
              <w:rPr>
                <w:lang w:val="en-GB"/>
              </w:rPr>
              <w:t xml:space="preserve">to </w:t>
            </w:r>
            <w:r>
              <w:rPr>
                <w:lang w:val="en-GB"/>
              </w:rPr>
              <w:t>highlight also</w:t>
            </w:r>
            <w:r w:rsidRPr="00546BEA">
              <w:rPr>
                <w:lang w:val="en-GB"/>
              </w:rPr>
              <w:t xml:space="preserve"> the responsibility of individuals with regard to these </w:t>
            </w:r>
            <w:r>
              <w:rPr>
                <w:lang w:val="en-GB"/>
              </w:rPr>
              <w:t>h</w:t>
            </w:r>
            <w:r w:rsidRPr="00546BEA">
              <w:rPr>
                <w:lang w:val="en-GB"/>
              </w:rPr>
              <w:t xml:space="preserve">uman </w:t>
            </w:r>
            <w:r>
              <w:rPr>
                <w:lang w:val="en-GB"/>
              </w:rPr>
              <w:t>r</w:t>
            </w:r>
            <w:r w:rsidRPr="00546BEA">
              <w:rPr>
                <w:lang w:val="en-GB"/>
              </w:rPr>
              <w:t xml:space="preserve">ights. The best example in the international fight against </w:t>
            </w:r>
            <w:r>
              <w:rPr>
                <w:lang w:val="en-GB"/>
              </w:rPr>
              <w:t>h</w:t>
            </w:r>
            <w:r w:rsidRPr="00546BEA">
              <w:rPr>
                <w:lang w:val="en-GB"/>
              </w:rPr>
              <w:t xml:space="preserve">uman </w:t>
            </w:r>
            <w:r>
              <w:rPr>
                <w:lang w:val="en-GB"/>
              </w:rPr>
              <w:t>r</w:t>
            </w:r>
            <w:r w:rsidRPr="00546BEA">
              <w:rPr>
                <w:lang w:val="en-GB"/>
              </w:rPr>
              <w:t xml:space="preserve">ights </w:t>
            </w:r>
            <w:r>
              <w:rPr>
                <w:lang w:val="en-GB"/>
              </w:rPr>
              <w:t xml:space="preserve">violations </w:t>
            </w:r>
            <w:r w:rsidRPr="00546BEA">
              <w:rPr>
                <w:lang w:val="en-GB"/>
              </w:rPr>
              <w:t xml:space="preserve">is the establishment of two international ad-hoc tribunals, namely those for </w:t>
            </w:r>
            <w:r>
              <w:rPr>
                <w:lang w:val="en-GB"/>
              </w:rPr>
              <w:t xml:space="preserve">the former </w:t>
            </w:r>
            <w:r w:rsidRPr="00546BEA">
              <w:rPr>
                <w:lang w:val="en-GB"/>
              </w:rPr>
              <w:t>Yugoslavia</w:t>
            </w:r>
            <w:r>
              <w:rPr>
                <w:lang w:val="en-GB"/>
              </w:rPr>
              <w:t xml:space="preserve"> (ICTY)</w:t>
            </w:r>
            <w:r w:rsidRPr="00546BEA">
              <w:rPr>
                <w:lang w:val="en-GB"/>
              </w:rPr>
              <w:t xml:space="preserve"> and Rwanda</w:t>
            </w:r>
            <w:r>
              <w:rPr>
                <w:lang w:val="en-GB"/>
              </w:rPr>
              <w:t xml:space="preserve"> (ICTR)</w:t>
            </w:r>
            <w:r w:rsidRPr="00546BEA">
              <w:rPr>
                <w:lang w:val="en-GB"/>
              </w:rPr>
              <w:t>. Both of them can be seen as the predecessors of the</w:t>
            </w:r>
            <w:r>
              <w:rPr>
                <w:lang w:val="en-GB"/>
              </w:rPr>
              <w:t xml:space="preserve"> permanent</w:t>
            </w:r>
            <w:r w:rsidRPr="00546BEA">
              <w:rPr>
                <w:lang w:val="en-GB"/>
              </w:rPr>
              <w:t xml:space="preserve"> International Criminal Court (ICC).</w:t>
            </w:r>
          </w:p>
        </w:tc>
        <w:tc>
          <w:tcPr>
            <w:tcW w:w="2552" w:type="dxa"/>
          </w:tcPr>
          <w:p w:rsidR="0034169D" w:rsidRPr="004D67C9" w:rsidRDefault="0034169D" w:rsidP="006B4B67">
            <w:pPr>
              <w:pStyle w:val="Listenabsatz"/>
              <w:spacing w:after="0" w:line="240" w:lineRule="auto"/>
              <w:ind w:left="313"/>
              <w:rPr>
                <w:rFonts w:cs="Calibri"/>
                <w:i/>
                <w:sz w:val="20"/>
                <w:szCs w:val="20"/>
                <w:lang w:val="en-US"/>
              </w:rPr>
            </w:pPr>
          </w:p>
          <w:p w:rsidR="0034169D" w:rsidRPr="004D67C9" w:rsidRDefault="0034169D" w:rsidP="006B4B67">
            <w:pPr>
              <w:spacing w:after="0" w:line="240" w:lineRule="auto"/>
              <w:ind w:left="313" w:hanging="270"/>
              <w:rPr>
                <w:rFonts w:cs="Calibri"/>
                <w:i/>
                <w:sz w:val="20"/>
                <w:szCs w:val="20"/>
                <w:lang w:val="en-US"/>
              </w:rPr>
            </w:pPr>
          </w:p>
          <w:p w:rsidR="0034169D" w:rsidRPr="004D67C9" w:rsidRDefault="0034169D" w:rsidP="006B4B67">
            <w:pPr>
              <w:spacing w:after="0" w:line="240" w:lineRule="auto"/>
              <w:ind w:left="313" w:hanging="270"/>
              <w:rPr>
                <w:rFonts w:cs="Calibri"/>
                <w:i/>
                <w:sz w:val="20"/>
                <w:szCs w:val="20"/>
                <w:lang w:val="en-US"/>
              </w:rPr>
            </w:pPr>
          </w:p>
          <w:p w:rsidR="0034169D" w:rsidRPr="004D67C9" w:rsidRDefault="0034169D" w:rsidP="006B4B67">
            <w:pPr>
              <w:spacing w:after="0" w:line="240" w:lineRule="auto"/>
              <w:ind w:left="313" w:hanging="270"/>
              <w:rPr>
                <w:rFonts w:cs="Calibri"/>
                <w:i/>
                <w:sz w:val="20"/>
                <w:szCs w:val="20"/>
                <w:lang w:val="en-US"/>
              </w:rPr>
            </w:pPr>
          </w:p>
          <w:p w:rsidR="0034169D" w:rsidRPr="004D67C9" w:rsidRDefault="0034169D" w:rsidP="006B4B67">
            <w:pPr>
              <w:spacing w:after="0" w:line="240" w:lineRule="auto"/>
              <w:ind w:left="313" w:hanging="270"/>
              <w:rPr>
                <w:rFonts w:cs="Calibri"/>
                <w:i/>
                <w:sz w:val="20"/>
                <w:szCs w:val="20"/>
                <w:lang w:val="en-US"/>
              </w:rPr>
            </w:pPr>
          </w:p>
          <w:p w:rsidR="0034169D" w:rsidRPr="004D67C9" w:rsidRDefault="0034169D" w:rsidP="006B4B67">
            <w:pPr>
              <w:spacing w:after="0" w:line="240" w:lineRule="auto"/>
              <w:ind w:left="313" w:hanging="270"/>
              <w:rPr>
                <w:rFonts w:cs="Calibri"/>
                <w:i/>
                <w:sz w:val="20"/>
                <w:szCs w:val="20"/>
                <w:lang w:val="en-US"/>
              </w:rPr>
            </w:pPr>
          </w:p>
          <w:p w:rsidR="0034169D" w:rsidRPr="004D67C9" w:rsidRDefault="0034169D" w:rsidP="00F1047C">
            <w:pPr>
              <w:pStyle w:val="Listenabsatz"/>
              <w:spacing w:after="0" w:line="240" w:lineRule="auto"/>
              <w:ind w:left="313"/>
              <w:rPr>
                <w:rFonts w:cs="Calibri"/>
                <w:i/>
                <w:sz w:val="20"/>
                <w:szCs w:val="20"/>
                <w:lang w:val="en-US"/>
              </w:rPr>
            </w:pPr>
          </w:p>
        </w:tc>
      </w:tr>
      <w:tr w:rsidR="0034169D" w:rsidRPr="00BB3FBE" w:rsidTr="006B4B67">
        <w:tc>
          <w:tcPr>
            <w:tcW w:w="7337" w:type="dxa"/>
          </w:tcPr>
          <w:p w:rsidR="0034169D" w:rsidRDefault="0034169D" w:rsidP="00564BC7">
            <w:pPr>
              <w:pStyle w:val="Textkrper"/>
              <w:rPr>
                <w:lang w:val="en-GB"/>
              </w:rPr>
            </w:pPr>
            <w:r w:rsidRPr="00546BEA">
              <w:rPr>
                <w:lang w:val="en-GB"/>
              </w:rPr>
              <w:t xml:space="preserve">The tribunal for </w:t>
            </w:r>
            <w:r>
              <w:rPr>
                <w:lang w:val="en-GB"/>
              </w:rPr>
              <w:t xml:space="preserve">the former </w:t>
            </w:r>
            <w:r w:rsidRPr="00546BEA">
              <w:rPr>
                <w:lang w:val="en-GB"/>
              </w:rPr>
              <w:t>Yugoslavia and the tribunal for Rwanda find their legal basis in</w:t>
            </w:r>
            <w:r>
              <w:rPr>
                <w:lang w:val="en-GB"/>
              </w:rPr>
              <w:t xml:space="preserve"> two</w:t>
            </w:r>
            <w:r w:rsidRPr="00546BEA">
              <w:rPr>
                <w:lang w:val="en-GB"/>
              </w:rPr>
              <w:t xml:space="preserve"> UN Security Council</w:t>
            </w:r>
            <w:r>
              <w:rPr>
                <w:lang w:val="en-GB"/>
              </w:rPr>
              <w:t xml:space="preserve"> </w:t>
            </w:r>
            <w:r w:rsidRPr="00546BEA">
              <w:rPr>
                <w:lang w:val="en-GB"/>
              </w:rPr>
              <w:t>resolution</w:t>
            </w:r>
            <w:r>
              <w:rPr>
                <w:lang w:val="en-GB"/>
              </w:rPr>
              <w:t>s in the early 1990s following the wars in ex-Yugoslavia and the genocide in Rwanda</w:t>
            </w:r>
            <w:r w:rsidRPr="00546BEA">
              <w:rPr>
                <w:lang w:val="en-GB"/>
              </w:rPr>
              <w:t>. The ICC was established by the Rome</w:t>
            </w:r>
            <w:r>
              <w:rPr>
                <w:lang w:val="en-GB"/>
              </w:rPr>
              <w:t xml:space="preserve"> </w:t>
            </w:r>
            <w:r w:rsidRPr="00546BEA">
              <w:rPr>
                <w:lang w:val="en-GB"/>
              </w:rPr>
              <w:t xml:space="preserve">Statute in 1998. </w:t>
            </w:r>
            <w:r>
              <w:rPr>
                <w:lang w:val="en-GB"/>
              </w:rPr>
              <w:t>The objective of these procedures lies in holding individual perpetrators liable for severe violations of human rights such as war crimes, crimes against humanity or genocide.</w:t>
            </w:r>
          </w:p>
        </w:tc>
        <w:tc>
          <w:tcPr>
            <w:tcW w:w="2552" w:type="dxa"/>
          </w:tcPr>
          <w:p w:rsidR="0034169D" w:rsidRDefault="0034169D" w:rsidP="00DF7E34">
            <w:pPr>
              <w:pStyle w:val="Listenabsatz"/>
              <w:numPr>
                <w:ilvl w:val="0"/>
                <w:numId w:val="9"/>
              </w:numPr>
              <w:spacing w:after="0" w:line="240" w:lineRule="auto"/>
              <w:ind w:left="318" w:hanging="284"/>
              <w:rPr>
                <w:rFonts w:cs="Calibri"/>
                <w:i/>
                <w:sz w:val="20"/>
                <w:szCs w:val="20"/>
                <w:lang w:val="en-US"/>
              </w:rPr>
            </w:pPr>
            <w:r>
              <w:rPr>
                <w:rFonts w:cs="Calibri"/>
                <w:i/>
                <w:sz w:val="20"/>
                <w:szCs w:val="20"/>
                <w:lang w:val="en-US"/>
              </w:rPr>
              <w:t xml:space="preserve">For more information on the ICTY, visit the website </w:t>
            </w:r>
            <w:hyperlink r:id="rId30" w:history="1">
              <w:r w:rsidRPr="003B7CF0">
                <w:rPr>
                  <w:rStyle w:val="Hyperlink"/>
                  <w:rFonts w:cs="Calibri"/>
                  <w:i/>
                  <w:sz w:val="20"/>
                  <w:szCs w:val="20"/>
                  <w:lang w:val="en-US"/>
                </w:rPr>
                <w:t>www.icty.org</w:t>
              </w:r>
            </w:hyperlink>
            <w:r>
              <w:rPr>
                <w:rFonts w:cs="Calibri"/>
                <w:i/>
                <w:sz w:val="20"/>
                <w:szCs w:val="20"/>
                <w:lang w:val="en-US"/>
              </w:rPr>
              <w:t xml:space="preserve"> </w:t>
            </w:r>
          </w:p>
          <w:p w:rsidR="0034169D" w:rsidRDefault="0034169D" w:rsidP="00DF7E34">
            <w:pPr>
              <w:pStyle w:val="Listenabsatz"/>
              <w:spacing w:after="0" w:line="240" w:lineRule="auto"/>
              <w:ind w:left="318"/>
              <w:rPr>
                <w:rFonts w:cs="Calibri"/>
                <w:i/>
                <w:sz w:val="20"/>
                <w:szCs w:val="20"/>
                <w:lang w:val="en-US"/>
              </w:rPr>
            </w:pPr>
          </w:p>
          <w:p w:rsidR="0034169D" w:rsidRPr="00DF7E34" w:rsidRDefault="0034169D" w:rsidP="00DF7E34">
            <w:pPr>
              <w:pStyle w:val="Listenabsatz"/>
              <w:numPr>
                <w:ilvl w:val="0"/>
                <w:numId w:val="9"/>
              </w:numPr>
              <w:spacing w:after="0" w:line="240" w:lineRule="auto"/>
              <w:ind w:left="318" w:hanging="284"/>
              <w:rPr>
                <w:rFonts w:cs="Calibri"/>
                <w:i/>
                <w:sz w:val="20"/>
                <w:szCs w:val="20"/>
                <w:lang w:val="en-US"/>
              </w:rPr>
            </w:pPr>
            <w:r>
              <w:rPr>
                <w:rFonts w:cs="Calibri"/>
                <w:i/>
                <w:sz w:val="20"/>
                <w:szCs w:val="20"/>
                <w:lang w:val="en-US"/>
              </w:rPr>
              <w:t xml:space="preserve">Visit the website </w:t>
            </w:r>
            <w:hyperlink r:id="rId31" w:history="1">
              <w:r w:rsidRPr="003B7CF0">
                <w:rPr>
                  <w:rStyle w:val="Hyperlink"/>
                  <w:rFonts w:cs="Calibri"/>
                  <w:i/>
                  <w:sz w:val="20"/>
                  <w:szCs w:val="20"/>
                  <w:lang w:val="en-US"/>
                </w:rPr>
                <w:t>www.unictr.org</w:t>
              </w:r>
            </w:hyperlink>
            <w:r>
              <w:rPr>
                <w:rFonts w:cs="Calibri"/>
                <w:i/>
                <w:sz w:val="20"/>
                <w:szCs w:val="20"/>
                <w:lang w:val="en-US"/>
              </w:rPr>
              <w:t xml:space="preserve"> for more information on the ICTR.</w:t>
            </w:r>
          </w:p>
        </w:tc>
      </w:tr>
      <w:tr w:rsidR="0034169D" w:rsidRPr="00BB3FBE" w:rsidTr="006B4B67">
        <w:tc>
          <w:tcPr>
            <w:tcW w:w="7337" w:type="dxa"/>
          </w:tcPr>
          <w:p w:rsidR="0034169D" w:rsidRDefault="0034169D" w:rsidP="00564BC7">
            <w:pPr>
              <w:pStyle w:val="Textkrper"/>
              <w:rPr>
                <w:lang w:val="en-GB"/>
              </w:rPr>
            </w:pPr>
            <w:r w:rsidRPr="00546BEA">
              <w:rPr>
                <w:lang w:val="en-GB"/>
              </w:rPr>
              <w:t xml:space="preserve">Their strength of course </w:t>
            </w:r>
            <w:r>
              <w:rPr>
                <w:lang w:val="en-GB"/>
              </w:rPr>
              <w:t>lies</w:t>
            </w:r>
            <w:r w:rsidRPr="00546BEA">
              <w:rPr>
                <w:lang w:val="en-GB"/>
              </w:rPr>
              <w:t xml:space="preserve"> in their judicial competence to </w:t>
            </w:r>
            <w:r>
              <w:rPr>
                <w:lang w:val="en-GB"/>
              </w:rPr>
              <w:t>adjudicate on</w:t>
            </w:r>
            <w:r w:rsidRPr="00546BEA">
              <w:rPr>
                <w:lang w:val="en-GB"/>
              </w:rPr>
              <w:t xml:space="preserve"> an individual’s responsibility for </w:t>
            </w:r>
            <w:r>
              <w:rPr>
                <w:lang w:val="en-GB"/>
              </w:rPr>
              <w:t xml:space="preserve">severe </w:t>
            </w:r>
            <w:r w:rsidRPr="00546BEA">
              <w:rPr>
                <w:lang w:val="en-GB"/>
              </w:rPr>
              <w:t xml:space="preserve">violations of </w:t>
            </w:r>
            <w:r>
              <w:rPr>
                <w:lang w:val="en-GB"/>
              </w:rPr>
              <w:t>h</w:t>
            </w:r>
            <w:r w:rsidRPr="00546BEA">
              <w:rPr>
                <w:lang w:val="en-GB"/>
              </w:rPr>
              <w:t xml:space="preserve">uman </w:t>
            </w:r>
            <w:r>
              <w:rPr>
                <w:lang w:val="en-GB"/>
              </w:rPr>
              <w:t>r</w:t>
            </w:r>
            <w:r w:rsidRPr="00546BEA">
              <w:rPr>
                <w:lang w:val="en-GB"/>
              </w:rPr>
              <w:t>ights</w:t>
            </w:r>
            <w:r>
              <w:rPr>
                <w:lang w:val="en-GB"/>
              </w:rPr>
              <w:t xml:space="preserve"> and thus reduce impunity</w:t>
            </w:r>
            <w:r w:rsidRPr="00546BEA">
              <w:rPr>
                <w:lang w:val="en-GB"/>
              </w:rPr>
              <w:t>.</w:t>
            </w:r>
          </w:p>
          <w:p w:rsidR="0034169D" w:rsidRDefault="0034169D" w:rsidP="00564BC7">
            <w:pPr>
              <w:pStyle w:val="Textkrper"/>
              <w:rPr>
                <w:lang w:val="en-US"/>
              </w:rPr>
            </w:pPr>
            <w:r>
              <w:rPr>
                <w:lang w:val="en-GB"/>
              </w:rPr>
              <w:t>T</w:t>
            </w:r>
            <w:r w:rsidRPr="00546BEA">
              <w:rPr>
                <w:lang w:val="en-GB"/>
              </w:rPr>
              <w:t>heir weakness</w:t>
            </w:r>
            <w:r>
              <w:rPr>
                <w:lang w:val="en-GB"/>
              </w:rPr>
              <w:t xml:space="preserve"> is that they can only take into consideration </w:t>
            </w:r>
            <w:r w:rsidRPr="00546BEA">
              <w:rPr>
                <w:lang w:val="en-GB"/>
              </w:rPr>
              <w:t>a limited number of cases</w:t>
            </w:r>
            <w:r>
              <w:rPr>
                <w:lang w:val="en-GB"/>
              </w:rPr>
              <w:t xml:space="preserve"> and that the criminal proceedings may take a very long time</w:t>
            </w:r>
            <w:r w:rsidRPr="00546BEA">
              <w:rPr>
                <w:lang w:val="en-GB"/>
              </w:rPr>
              <w:t>.</w:t>
            </w:r>
          </w:p>
        </w:tc>
        <w:tc>
          <w:tcPr>
            <w:tcW w:w="2552" w:type="dxa"/>
          </w:tcPr>
          <w:p w:rsidR="0034169D" w:rsidRDefault="0034169D" w:rsidP="006B4B67">
            <w:pPr>
              <w:pStyle w:val="Listenabsatz"/>
              <w:spacing w:after="0" w:line="240" w:lineRule="auto"/>
              <w:ind w:left="313"/>
              <w:rPr>
                <w:rFonts w:cs="Calibri"/>
                <w:i/>
                <w:sz w:val="20"/>
                <w:szCs w:val="20"/>
                <w:lang w:val="en-US"/>
              </w:rPr>
            </w:pPr>
          </w:p>
          <w:p w:rsidR="0034169D" w:rsidRDefault="0034169D" w:rsidP="00564BC7">
            <w:pPr>
              <w:pStyle w:val="Listenabsatz"/>
              <w:spacing w:after="0" w:line="240" w:lineRule="auto"/>
              <w:ind w:left="318"/>
              <w:rPr>
                <w:rFonts w:cs="Calibri"/>
                <w:i/>
                <w:sz w:val="20"/>
                <w:szCs w:val="20"/>
                <w:lang w:val="en-US"/>
              </w:rPr>
            </w:pPr>
          </w:p>
        </w:tc>
      </w:tr>
    </w:tbl>
    <w:p w:rsidR="0034169D" w:rsidRPr="004D67C9" w:rsidRDefault="0034169D">
      <w:pPr>
        <w:rPr>
          <w:lang w:val="en-US"/>
        </w:rPr>
      </w:pPr>
    </w:p>
    <w:sectPr w:rsidR="0034169D" w:rsidRPr="004D67C9" w:rsidSect="00685476">
      <w:footerReference w:type="default" r:id="rId32"/>
      <w:pgSz w:w="11906" w:h="16838"/>
      <w:pgMar w:top="1438" w:right="1134" w:bottom="17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FC" w:rsidRDefault="00B27AFC" w:rsidP="004D67C9">
      <w:pPr>
        <w:spacing w:before="0" w:after="0" w:line="240" w:lineRule="auto"/>
      </w:pPr>
      <w:r>
        <w:separator/>
      </w:r>
    </w:p>
  </w:endnote>
  <w:endnote w:type="continuationSeparator" w:id="0">
    <w:p w:rsidR="00B27AFC" w:rsidRDefault="00B27AFC" w:rsidP="004D67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9D" w:rsidRPr="00573288" w:rsidRDefault="0034169D" w:rsidP="00DA02C6">
    <w:pPr>
      <w:pStyle w:val="Fuzeile"/>
      <w:jc w:val="center"/>
      <w:rPr>
        <w:szCs w:val="20"/>
        <w:lang w:val="en-US"/>
      </w:rPr>
    </w:pPr>
    <w:proofErr w:type="gramStart"/>
    <w:r>
      <w:rPr>
        <w:szCs w:val="20"/>
        <w:lang w:val="en-US"/>
      </w:rPr>
      <w:t>page</w:t>
    </w:r>
    <w:proofErr w:type="gramEnd"/>
    <w:r w:rsidRPr="00CE74BC">
      <w:rPr>
        <w:szCs w:val="20"/>
      </w:rPr>
      <w:t xml:space="preserve"> </w:t>
    </w:r>
    <w:r w:rsidR="00E4616F" w:rsidRPr="00CE74BC">
      <w:rPr>
        <w:rStyle w:val="Seitenzahl"/>
        <w:szCs w:val="20"/>
      </w:rPr>
      <w:fldChar w:fldCharType="begin"/>
    </w:r>
    <w:r w:rsidRPr="00CE74BC">
      <w:rPr>
        <w:rStyle w:val="Seitenzahl"/>
        <w:szCs w:val="20"/>
      </w:rPr>
      <w:instrText xml:space="preserve"> PAGE </w:instrText>
    </w:r>
    <w:r w:rsidR="00E4616F" w:rsidRPr="00CE74BC">
      <w:rPr>
        <w:rStyle w:val="Seitenzahl"/>
        <w:szCs w:val="20"/>
      </w:rPr>
      <w:fldChar w:fldCharType="separate"/>
    </w:r>
    <w:r>
      <w:rPr>
        <w:rStyle w:val="Seitenzahl"/>
        <w:noProof/>
        <w:szCs w:val="20"/>
      </w:rPr>
      <w:t>2</w:t>
    </w:r>
    <w:r w:rsidR="00E4616F" w:rsidRPr="00CE74BC">
      <w:rPr>
        <w:rStyle w:val="Seitenzahl"/>
        <w:szCs w:val="20"/>
      </w:rPr>
      <w:fldChar w:fldCharType="end"/>
    </w:r>
    <w:r w:rsidRPr="00CE74BC">
      <w:rPr>
        <w:rStyle w:val="Seitenzahl"/>
        <w:szCs w:val="20"/>
      </w:rPr>
      <w:t xml:space="preserve"> </w:t>
    </w:r>
    <w:r>
      <w:rPr>
        <w:rStyle w:val="Seitenzahl"/>
        <w:szCs w:val="20"/>
        <w:lang w:val="en-US"/>
      </w:rPr>
      <w:t>/</w:t>
    </w:r>
    <w:r w:rsidRPr="00CE74BC">
      <w:rPr>
        <w:rStyle w:val="Seitenzahl"/>
        <w:szCs w:val="20"/>
      </w:rPr>
      <w:t xml:space="preserve"> </w:t>
    </w:r>
    <w:r w:rsidR="00E4616F" w:rsidRPr="00CE74BC">
      <w:rPr>
        <w:rStyle w:val="Seitenzahl"/>
        <w:szCs w:val="20"/>
      </w:rPr>
      <w:fldChar w:fldCharType="begin"/>
    </w:r>
    <w:r w:rsidRPr="00CE74BC">
      <w:rPr>
        <w:rStyle w:val="Seitenzahl"/>
        <w:szCs w:val="20"/>
      </w:rPr>
      <w:instrText xml:space="preserve"> NUMPAGES </w:instrText>
    </w:r>
    <w:r w:rsidR="00E4616F" w:rsidRPr="00CE74BC">
      <w:rPr>
        <w:rStyle w:val="Seitenzahl"/>
        <w:szCs w:val="20"/>
      </w:rPr>
      <w:fldChar w:fldCharType="separate"/>
    </w:r>
    <w:r>
      <w:rPr>
        <w:rStyle w:val="Seitenzahl"/>
        <w:noProof/>
        <w:szCs w:val="20"/>
      </w:rPr>
      <w:t>10</w:t>
    </w:r>
    <w:r w:rsidR="00E4616F" w:rsidRPr="00CE74BC">
      <w:rPr>
        <w:rStyle w:val="Seitenzahl"/>
        <w:szCs w:val="20"/>
      </w:rPr>
      <w:fldChar w:fldCharType="end"/>
    </w:r>
  </w:p>
  <w:p w:rsidR="0034169D" w:rsidRDefault="003416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9D" w:rsidRDefault="0034169D" w:rsidP="001F336C">
    <w:pPr>
      <w:pStyle w:val="Fuzeile"/>
      <w:jc w:val="center"/>
    </w:pPr>
    <w:proofErr w:type="gramStart"/>
    <w:r>
      <w:rPr>
        <w:lang w:val="en-US"/>
      </w:rPr>
      <w:t>page</w:t>
    </w:r>
    <w:proofErr w:type="gramEnd"/>
    <w:r>
      <w:rPr>
        <w:lang w:val="en-US"/>
      </w:rPr>
      <w:t xml:space="preserve"> </w:t>
    </w:r>
    <w:r w:rsidR="00E4616F" w:rsidRPr="00CE74BC">
      <w:rPr>
        <w:rStyle w:val="Seitenzahl"/>
        <w:szCs w:val="20"/>
      </w:rPr>
      <w:fldChar w:fldCharType="begin"/>
    </w:r>
    <w:r w:rsidRPr="00CE74BC">
      <w:rPr>
        <w:rStyle w:val="Seitenzahl"/>
        <w:szCs w:val="20"/>
      </w:rPr>
      <w:instrText xml:space="preserve"> PAGE </w:instrText>
    </w:r>
    <w:r w:rsidR="00E4616F" w:rsidRPr="00CE74BC">
      <w:rPr>
        <w:rStyle w:val="Seitenzahl"/>
        <w:szCs w:val="20"/>
      </w:rPr>
      <w:fldChar w:fldCharType="separate"/>
    </w:r>
    <w:r w:rsidR="00564BC7">
      <w:rPr>
        <w:rStyle w:val="Seitenzahl"/>
        <w:noProof/>
        <w:szCs w:val="20"/>
      </w:rPr>
      <w:t>3</w:t>
    </w:r>
    <w:r w:rsidR="00E4616F" w:rsidRPr="00CE74BC">
      <w:rPr>
        <w:rStyle w:val="Seitenzahl"/>
        <w:szCs w:val="20"/>
      </w:rPr>
      <w:fldChar w:fldCharType="end"/>
    </w:r>
    <w:r w:rsidRPr="00CE74BC">
      <w:rPr>
        <w:rStyle w:val="Seitenzahl"/>
        <w:szCs w:val="20"/>
      </w:rPr>
      <w:t xml:space="preserve"> </w:t>
    </w:r>
    <w:r>
      <w:rPr>
        <w:rStyle w:val="Seitenzahl"/>
        <w:szCs w:val="20"/>
        <w:lang w:val="en-US"/>
      </w:rPr>
      <w:t>/</w:t>
    </w:r>
    <w:r w:rsidRPr="00CE74BC">
      <w:rPr>
        <w:rStyle w:val="Seitenzahl"/>
        <w:szCs w:val="20"/>
      </w:rPr>
      <w:t xml:space="preserve"> </w:t>
    </w:r>
    <w:r w:rsidR="00E4616F" w:rsidRPr="00CE74BC">
      <w:rPr>
        <w:rStyle w:val="Seitenzahl"/>
        <w:szCs w:val="20"/>
      </w:rPr>
      <w:fldChar w:fldCharType="begin"/>
    </w:r>
    <w:r w:rsidRPr="00CE74BC">
      <w:rPr>
        <w:rStyle w:val="Seitenzahl"/>
        <w:szCs w:val="20"/>
      </w:rPr>
      <w:instrText xml:space="preserve"> NUMPAGES </w:instrText>
    </w:r>
    <w:r w:rsidR="00E4616F" w:rsidRPr="00CE74BC">
      <w:rPr>
        <w:rStyle w:val="Seitenzahl"/>
        <w:szCs w:val="20"/>
      </w:rPr>
      <w:fldChar w:fldCharType="separate"/>
    </w:r>
    <w:r w:rsidR="00564BC7">
      <w:rPr>
        <w:rStyle w:val="Seitenzahl"/>
        <w:noProof/>
        <w:szCs w:val="20"/>
      </w:rPr>
      <w:t>11</w:t>
    </w:r>
    <w:r w:rsidR="00E4616F" w:rsidRPr="00CE74BC">
      <w:rPr>
        <w:rStyle w:val="Seitenzahl"/>
        <w:szCs w:val="20"/>
      </w:rPr>
      <w:fldChar w:fldCharType="end"/>
    </w:r>
  </w:p>
  <w:p w:rsidR="0034169D" w:rsidRDefault="003416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FC" w:rsidRDefault="00B27AFC" w:rsidP="004D67C9">
      <w:pPr>
        <w:spacing w:before="0" w:after="0" w:line="240" w:lineRule="auto"/>
      </w:pPr>
      <w:r>
        <w:separator/>
      </w:r>
    </w:p>
  </w:footnote>
  <w:footnote w:type="continuationSeparator" w:id="0">
    <w:p w:rsidR="00B27AFC" w:rsidRDefault="00B27AFC" w:rsidP="004D67C9">
      <w:pPr>
        <w:spacing w:before="0" w:after="0" w:line="240" w:lineRule="auto"/>
      </w:pPr>
      <w:r>
        <w:continuationSeparator/>
      </w:r>
    </w:p>
  </w:footnote>
  <w:footnote w:id="1">
    <w:p w:rsidR="0034169D" w:rsidRPr="00564BC7" w:rsidRDefault="0034169D">
      <w:pPr>
        <w:pStyle w:val="Funotentext"/>
        <w:tabs>
          <w:tab w:val="left" w:pos="7230"/>
        </w:tabs>
        <w:rPr>
          <w:lang w:val="en-US"/>
        </w:rPr>
      </w:pPr>
      <w:r>
        <w:rPr>
          <w:rStyle w:val="Funotenzeichen"/>
        </w:rPr>
        <w:footnoteRef/>
      </w:r>
      <w:r w:rsidRPr="0081422E">
        <w:rPr>
          <w:lang w:val="en-GB"/>
        </w:rPr>
        <w:t xml:space="preserve"> </w:t>
      </w:r>
      <w:r w:rsidRPr="000A3099">
        <w:rPr>
          <w:lang w:val="en-US"/>
        </w:rPr>
        <w:t xml:space="preserve">Antonio Augusto </w:t>
      </w:r>
      <w:proofErr w:type="spellStart"/>
      <w:r w:rsidRPr="000A3099">
        <w:rPr>
          <w:lang w:val="en-US"/>
        </w:rPr>
        <w:t>Cançado</w:t>
      </w:r>
      <w:proofErr w:type="spellEnd"/>
      <w:r w:rsidRPr="000A3099">
        <w:rPr>
          <w:lang w:val="en-US"/>
        </w:rPr>
        <w:t xml:space="preserve"> </w:t>
      </w:r>
      <w:proofErr w:type="spellStart"/>
      <w:r w:rsidRPr="000A3099">
        <w:rPr>
          <w:lang w:val="en-US"/>
        </w:rPr>
        <w:t>Trindade</w:t>
      </w:r>
      <w:proofErr w:type="spellEnd"/>
      <w:r>
        <w:rPr>
          <w:lang w:val="en-US"/>
        </w:rPr>
        <w:t xml:space="preserve"> (</w:t>
      </w:r>
      <w:r w:rsidRPr="004644C5">
        <w:rPr>
          <w:lang w:val="en-US"/>
        </w:rPr>
        <w:t>1987) Co-existence and Co-ordination of Mechanisms of International Protection of Human Rights (at Global and Regional Levels) 202</w:t>
      </w:r>
      <w:r>
        <w:rPr>
          <w:lang w:val="en-US"/>
        </w:rPr>
        <w:t xml:space="preserve"> </w:t>
      </w:r>
      <w:r w:rsidRPr="004644C5">
        <w:rPr>
          <w:i/>
          <w:lang w:val="en-US"/>
        </w:rPr>
        <w:t xml:space="preserve">Collected Courses of </w:t>
      </w:r>
      <w:smartTag w:uri="urn:schemas-microsoft-com:office:smarttags" w:element="place">
        <w:smartTag w:uri="urn:schemas-microsoft-com:office:smarttags" w:element="PlaceName">
          <w:r w:rsidRPr="004644C5">
            <w:rPr>
              <w:i/>
              <w:lang w:val="en-US"/>
            </w:rPr>
            <w:t>The Hague</w:t>
          </w:r>
        </w:smartTag>
        <w:r w:rsidRPr="004644C5">
          <w:rPr>
            <w:i/>
            <w:lang w:val="en-US"/>
          </w:rPr>
          <w:t xml:space="preserve"> </w:t>
        </w:r>
        <w:smartTag w:uri="urn:schemas-microsoft-com:office:smarttags" w:element="PlaceType">
          <w:r w:rsidRPr="004644C5">
            <w:rPr>
              <w:i/>
              <w:lang w:val="en-US"/>
            </w:rPr>
            <w:t>Academy</w:t>
          </w:r>
        </w:smartTag>
      </w:smartTag>
      <w:r w:rsidRPr="004644C5">
        <w:rPr>
          <w:i/>
          <w:lang w:val="en-US"/>
        </w:rPr>
        <w:t xml:space="preserve"> of International Law</w:t>
      </w:r>
      <w:r>
        <w:rPr>
          <w:lang w:val="en-US"/>
        </w:rPr>
        <w:t xml:space="preserve"> 1-435, </w:t>
      </w:r>
      <w:r w:rsidRPr="000A3099">
        <w:rPr>
          <w:lang w:val="en-US"/>
        </w:rPr>
        <w:t>34</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78B"/>
    <w:multiLevelType w:val="hybridMultilevel"/>
    <w:tmpl w:val="9F90D8D4"/>
    <w:lvl w:ilvl="0" w:tplc="72F6A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51014"/>
    <w:multiLevelType w:val="hybridMultilevel"/>
    <w:tmpl w:val="E1088FE8"/>
    <w:lvl w:ilvl="0" w:tplc="72F6A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3">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2511F6"/>
    <w:multiLevelType w:val="hybridMultilevel"/>
    <w:tmpl w:val="812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E1ED0"/>
    <w:multiLevelType w:val="hybridMultilevel"/>
    <w:tmpl w:val="80FA9F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BF6036"/>
    <w:multiLevelType w:val="hybridMultilevel"/>
    <w:tmpl w:val="607A9D46"/>
    <w:lvl w:ilvl="0" w:tplc="72F6AA70">
      <w:start w:val="1"/>
      <w:numFmt w:val="bullet"/>
      <w:lvlText w:val="»"/>
      <w:lvlJc w:val="left"/>
      <w:pPr>
        <w:ind w:left="780" w:hanging="360"/>
      </w:pPr>
      <w:rPr>
        <w:rFonts w:ascii="Calibri" w:hAnsi="Calibr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A5A792D"/>
    <w:multiLevelType w:val="hybridMultilevel"/>
    <w:tmpl w:val="23FAA17C"/>
    <w:lvl w:ilvl="0" w:tplc="72F6AA7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B2817"/>
    <w:multiLevelType w:val="hybridMultilevel"/>
    <w:tmpl w:val="715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4763D"/>
    <w:multiLevelType w:val="hybridMultilevel"/>
    <w:tmpl w:val="E1EA8C1C"/>
    <w:lvl w:ilvl="0" w:tplc="A1A4777E">
      <w:start w:val="1"/>
      <w:numFmt w:val="bullet"/>
      <w:lvlText w:val="»"/>
      <w:lvlJc w:val="left"/>
      <w:pPr>
        <w:ind w:left="1033" w:hanging="360"/>
      </w:pPr>
      <w:rPr>
        <w:rFonts w:ascii="Calibri" w:hAnsi="Calibri" w:hint="default"/>
      </w:rPr>
    </w:lvl>
    <w:lvl w:ilvl="1" w:tplc="04090003" w:tentative="1">
      <w:start w:val="1"/>
      <w:numFmt w:val="bullet"/>
      <w:lvlText w:val="o"/>
      <w:lvlJc w:val="left"/>
      <w:pPr>
        <w:ind w:left="1753" w:hanging="360"/>
      </w:pPr>
      <w:rPr>
        <w:rFonts w:ascii="Courier New" w:hAnsi="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4"/>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C9"/>
    <w:rsid w:val="00025B2A"/>
    <w:rsid w:val="000364B9"/>
    <w:rsid w:val="0004736A"/>
    <w:rsid w:val="000569C0"/>
    <w:rsid w:val="000611F9"/>
    <w:rsid w:val="000A3099"/>
    <w:rsid w:val="000D2B3B"/>
    <w:rsid w:val="0013597B"/>
    <w:rsid w:val="00157F26"/>
    <w:rsid w:val="00161483"/>
    <w:rsid w:val="00190B32"/>
    <w:rsid w:val="001C6F2C"/>
    <w:rsid w:val="001F336C"/>
    <w:rsid w:val="002900D7"/>
    <w:rsid w:val="002A3956"/>
    <w:rsid w:val="002A4A29"/>
    <w:rsid w:val="002F619C"/>
    <w:rsid w:val="0034169D"/>
    <w:rsid w:val="00361098"/>
    <w:rsid w:val="0036132A"/>
    <w:rsid w:val="003644A7"/>
    <w:rsid w:val="00396709"/>
    <w:rsid w:val="003B7CF0"/>
    <w:rsid w:val="003C2028"/>
    <w:rsid w:val="00401B14"/>
    <w:rsid w:val="0044770D"/>
    <w:rsid w:val="004644C5"/>
    <w:rsid w:val="004A4282"/>
    <w:rsid w:val="004D1CE6"/>
    <w:rsid w:val="004D67C9"/>
    <w:rsid w:val="005062CF"/>
    <w:rsid w:val="00527594"/>
    <w:rsid w:val="00546BEA"/>
    <w:rsid w:val="00564BC7"/>
    <w:rsid w:val="00573288"/>
    <w:rsid w:val="005816B9"/>
    <w:rsid w:val="005A6499"/>
    <w:rsid w:val="005D5C93"/>
    <w:rsid w:val="00615367"/>
    <w:rsid w:val="00624D24"/>
    <w:rsid w:val="00634CBC"/>
    <w:rsid w:val="00642339"/>
    <w:rsid w:val="00656624"/>
    <w:rsid w:val="00661AF5"/>
    <w:rsid w:val="00685476"/>
    <w:rsid w:val="006B4B67"/>
    <w:rsid w:val="006B794B"/>
    <w:rsid w:val="006E0E91"/>
    <w:rsid w:val="006E686D"/>
    <w:rsid w:val="006F3C63"/>
    <w:rsid w:val="006F6E7D"/>
    <w:rsid w:val="007152CB"/>
    <w:rsid w:val="00753DDD"/>
    <w:rsid w:val="00761F91"/>
    <w:rsid w:val="00786F17"/>
    <w:rsid w:val="007B0056"/>
    <w:rsid w:val="007D1DD3"/>
    <w:rsid w:val="0081422E"/>
    <w:rsid w:val="0085795F"/>
    <w:rsid w:val="00862ACC"/>
    <w:rsid w:val="008E257D"/>
    <w:rsid w:val="008F32CB"/>
    <w:rsid w:val="00937AC1"/>
    <w:rsid w:val="0094019F"/>
    <w:rsid w:val="00981628"/>
    <w:rsid w:val="009970D5"/>
    <w:rsid w:val="009C4FE0"/>
    <w:rsid w:val="009F29B8"/>
    <w:rsid w:val="00A712C5"/>
    <w:rsid w:val="00A93813"/>
    <w:rsid w:val="00B05ACF"/>
    <w:rsid w:val="00B107A2"/>
    <w:rsid w:val="00B27AFC"/>
    <w:rsid w:val="00B42032"/>
    <w:rsid w:val="00BB3FBE"/>
    <w:rsid w:val="00BE1A1E"/>
    <w:rsid w:val="00BF539E"/>
    <w:rsid w:val="00C41E4A"/>
    <w:rsid w:val="00C702EA"/>
    <w:rsid w:val="00C975EC"/>
    <w:rsid w:val="00CB3F05"/>
    <w:rsid w:val="00CE5429"/>
    <w:rsid w:val="00CE74BC"/>
    <w:rsid w:val="00D03975"/>
    <w:rsid w:val="00D66FAF"/>
    <w:rsid w:val="00D76008"/>
    <w:rsid w:val="00DA02C6"/>
    <w:rsid w:val="00DA29FF"/>
    <w:rsid w:val="00DB0E87"/>
    <w:rsid w:val="00DF7E34"/>
    <w:rsid w:val="00E11154"/>
    <w:rsid w:val="00E2291D"/>
    <w:rsid w:val="00E26DFE"/>
    <w:rsid w:val="00E44D6B"/>
    <w:rsid w:val="00E4616F"/>
    <w:rsid w:val="00E64E14"/>
    <w:rsid w:val="00EA4DEA"/>
    <w:rsid w:val="00EE24BF"/>
    <w:rsid w:val="00EE2926"/>
    <w:rsid w:val="00EE6F6F"/>
    <w:rsid w:val="00EE7239"/>
    <w:rsid w:val="00EE7B0B"/>
    <w:rsid w:val="00F1047C"/>
    <w:rsid w:val="00F11535"/>
    <w:rsid w:val="00FB58E5"/>
    <w:rsid w:val="00FC1388"/>
    <w:rsid w:val="00FD36B6"/>
    <w:rsid w:val="00FE5DDF"/>
    <w:rsid w:val="00FF09F7"/>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7C9"/>
    <w:pPr>
      <w:spacing w:before="120" w:after="120" w:line="360" w:lineRule="auto"/>
    </w:pPr>
    <w:rPr>
      <w:rFonts w:eastAsia="Times New Roman"/>
      <w:sz w:val="22"/>
      <w:szCs w:val="24"/>
      <w:lang w:val="el-GR" w:eastAsia="el-GR"/>
    </w:rPr>
  </w:style>
  <w:style w:type="paragraph" w:styleId="berschrift1">
    <w:name w:val="heading 1"/>
    <w:basedOn w:val="Standard"/>
    <w:next w:val="Standard"/>
    <w:link w:val="berschrift1Zchn"/>
    <w:uiPriority w:val="99"/>
    <w:qFormat/>
    <w:rsid w:val="004D67C9"/>
    <w:pPr>
      <w:keepNext/>
      <w:spacing w:before="240" w:after="60" w:line="276" w:lineRule="auto"/>
      <w:outlineLvl w:val="0"/>
    </w:pPr>
    <w:rPr>
      <w:rFonts w:ascii="Cambria" w:hAnsi="Cambria"/>
      <w:b/>
      <w:bCs/>
      <w:kern w:val="32"/>
      <w:sz w:val="32"/>
      <w:szCs w:val="32"/>
      <w:lang w:val="de-DE" w:eastAsia="en-US"/>
    </w:rPr>
  </w:style>
  <w:style w:type="paragraph" w:styleId="berschrift2">
    <w:name w:val="heading 2"/>
    <w:basedOn w:val="Standard"/>
    <w:next w:val="Standard"/>
    <w:link w:val="berschrift2Zchn"/>
    <w:uiPriority w:val="99"/>
    <w:qFormat/>
    <w:rsid w:val="00F1047C"/>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67C9"/>
    <w:rPr>
      <w:rFonts w:ascii="Cambria" w:hAnsi="Cambria" w:cs="Times New Roman"/>
      <w:b/>
      <w:bCs/>
      <w:kern w:val="32"/>
      <w:sz w:val="32"/>
      <w:szCs w:val="32"/>
      <w:lang w:val="de-DE"/>
    </w:rPr>
  </w:style>
  <w:style w:type="character" w:customStyle="1" w:styleId="berschrift2Zchn">
    <w:name w:val="Überschrift 2 Zchn"/>
    <w:basedOn w:val="Absatz-Standardschriftart"/>
    <w:link w:val="berschrift2"/>
    <w:uiPriority w:val="99"/>
    <w:locked/>
    <w:rsid w:val="00F1047C"/>
    <w:rPr>
      <w:rFonts w:ascii="Cambria" w:hAnsi="Cambria" w:cs="Times New Roman"/>
      <w:b/>
      <w:bCs/>
      <w:color w:val="4F81BD"/>
      <w:sz w:val="26"/>
      <w:szCs w:val="26"/>
      <w:lang w:eastAsia="el-GR"/>
    </w:rPr>
  </w:style>
  <w:style w:type="paragraph" w:styleId="Fuzeile">
    <w:name w:val="footer"/>
    <w:basedOn w:val="Standard"/>
    <w:link w:val="FuzeileZchn"/>
    <w:uiPriority w:val="99"/>
    <w:rsid w:val="004D67C9"/>
    <w:pPr>
      <w:tabs>
        <w:tab w:val="center" w:pos="4153"/>
        <w:tab w:val="right" w:pos="8306"/>
      </w:tabs>
    </w:pPr>
  </w:style>
  <w:style w:type="character" w:customStyle="1" w:styleId="FuzeileZchn">
    <w:name w:val="Fußzeile Zchn"/>
    <w:basedOn w:val="Absatz-Standardschriftart"/>
    <w:link w:val="Fuzeile"/>
    <w:uiPriority w:val="99"/>
    <w:locked/>
    <w:rsid w:val="004D67C9"/>
    <w:rPr>
      <w:rFonts w:ascii="Calibri" w:hAnsi="Calibri" w:cs="Times New Roman"/>
      <w:sz w:val="24"/>
      <w:szCs w:val="24"/>
      <w:lang w:eastAsia="el-GR"/>
    </w:rPr>
  </w:style>
  <w:style w:type="character" w:styleId="Seitenzahl">
    <w:name w:val="page number"/>
    <w:basedOn w:val="Absatz-Standardschriftart"/>
    <w:uiPriority w:val="99"/>
    <w:rsid w:val="004D67C9"/>
    <w:rPr>
      <w:rFonts w:cs="Times New Roman"/>
    </w:rPr>
  </w:style>
  <w:style w:type="table" w:styleId="Tabellenraster">
    <w:name w:val="Table Grid"/>
    <w:basedOn w:val="NormaleTabelle"/>
    <w:uiPriority w:val="99"/>
    <w:rsid w:val="004D67C9"/>
    <w:rPr>
      <w:rFonts w:ascii="Times New Roman" w:eastAsia="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Standard"/>
    <w:uiPriority w:val="99"/>
    <w:rsid w:val="004D67C9"/>
    <w:pPr>
      <w:spacing w:line="240" w:lineRule="auto"/>
      <w:jc w:val="center"/>
    </w:pPr>
    <w:rPr>
      <w:rFonts w:ascii="Garamond" w:hAnsi="Garamond"/>
      <w:b/>
      <w:color w:val="404040"/>
      <w:spacing w:val="40"/>
      <w:sz w:val="40"/>
      <w:u w:color="D9D9D9"/>
    </w:rPr>
  </w:style>
  <w:style w:type="character" w:styleId="Hyperlink">
    <w:name w:val="Hyperlink"/>
    <w:basedOn w:val="Absatz-Standardschriftart"/>
    <w:uiPriority w:val="99"/>
    <w:rsid w:val="004D67C9"/>
    <w:rPr>
      <w:rFonts w:cs="Times New Roman"/>
      <w:color w:val="0000FF"/>
      <w:u w:val="single"/>
    </w:rPr>
  </w:style>
  <w:style w:type="paragraph" w:styleId="Verzeichnis1">
    <w:name w:val="toc 1"/>
    <w:basedOn w:val="Standard"/>
    <w:next w:val="Standard"/>
    <w:autoRedefine/>
    <w:uiPriority w:val="99"/>
    <w:rsid w:val="004D67C9"/>
    <w:rPr>
      <w:rFonts w:ascii="Tahoma" w:hAnsi="Tahoma"/>
      <w:b/>
      <w:bCs/>
      <w:color w:val="595959"/>
      <w:szCs w:val="20"/>
    </w:rPr>
  </w:style>
  <w:style w:type="paragraph" w:customStyle="1" w:styleId="StyleTitleTOC">
    <w:name w:val="Style Title TOC"/>
    <w:basedOn w:val="Standard"/>
    <w:uiPriority w:val="99"/>
    <w:rsid w:val="004D67C9"/>
    <w:pPr>
      <w:jc w:val="center"/>
    </w:pPr>
    <w:rPr>
      <w:b/>
    </w:rPr>
  </w:style>
  <w:style w:type="paragraph" w:styleId="Sprechblasentext">
    <w:name w:val="Balloon Text"/>
    <w:basedOn w:val="Standard"/>
    <w:link w:val="SprechblasentextZchn"/>
    <w:uiPriority w:val="99"/>
    <w:semiHidden/>
    <w:rsid w:val="004D67C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67C9"/>
    <w:rPr>
      <w:rFonts w:ascii="Tahoma" w:hAnsi="Tahoma" w:cs="Tahoma"/>
      <w:sz w:val="16"/>
      <w:szCs w:val="16"/>
      <w:lang w:eastAsia="el-GR"/>
    </w:rPr>
  </w:style>
  <w:style w:type="paragraph" w:styleId="Textkrper">
    <w:name w:val="Body Text"/>
    <w:basedOn w:val="Standard"/>
    <w:link w:val="TextkrperZchn"/>
    <w:uiPriority w:val="99"/>
    <w:rsid w:val="004D67C9"/>
    <w:pPr>
      <w:spacing w:before="0" w:line="276" w:lineRule="auto"/>
    </w:pPr>
    <w:rPr>
      <w:rFonts w:eastAsia="Calibri"/>
      <w:szCs w:val="22"/>
      <w:lang w:val="de-DE" w:eastAsia="en-US"/>
    </w:rPr>
  </w:style>
  <w:style w:type="character" w:customStyle="1" w:styleId="TextkrperZchn">
    <w:name w:val="Textkörper Zchn"/>
    <w:basedOn w:val="Absatz-Standardschriftart"/>
    <w:link w:val="Textkrper"/>
    <w:uiPriority w:val="99"/>
    <w:locked/>
    <w:rsid w:val="004D67C9"/>
    <w:rPr>
      <w:rFonts w:ascii="Calibri" w:hAnsi="Calibri" w:cs="Times New Roman"/>
      <w:lang w:val="de-DE"/>
    </w:rPr>
  </w:style>
  <w:style w:type="paragraph" w:styleId="Listenabsatz">
    <w:name w:val="List Paragraph"/>
    <w:basedOn w:val="Standard"/>
    <w:uiPriority w:val="99"/>
    <w:qFormat/>
    <w:rsid w:val="004D67C9"/>
    <w:pPr>
      <w:spacing w:before="0" w:after="200" w:line="276" w:lineRule="auto"/>
      <w:ind w:left="720"/>
      <w:contextualSpacing/>
    </w:pPr>
    <w:rPr>
      <w:rFonts w:eastAsia="Calibri"/>
      <w:szCs w:val="22"/>
      <w:lang w:val="de-DE" w:eastAsia="en-US"/>
    </w:rPr>
  </w:style>
  <w:style w:type="paragraph" w:styleId="Funotentext">
    <w:name w:val="footnote text"/>
    <w:basedOn w:val="Standard"/>
    <w:link w:val="FunotentextZchn"/>
    <w:uiPriority w:val="99"/>
    <w:semiHidden/>
    <w:rsid w:val="004D67C9"/>
    <w:pPr>
      <w:spacing w:before="0" w:after="0" w:line="240" w:lineRule="auto"/>
    </w:pPr>
    <w:rPr>
      <w:rFonts w:eastAsia="Calibri"/>
      <w:sz w:val="20"/>
      <w:szCs w:val="20"/>
      <w:lang w:val="de-DE" w:eastAsia="en-US"/>
    </w:rPr>
  </w:style>
  <w:style w:type="character" w:customStyle="1" w:styleId="FunotentextZchn">
    <w:name w:val="Fußnotentext Zchn"/>
    <w:basedOn w:val="Absatz-Standardschriftart"/>
    <w:link w:val="Funotentext"/>
    <w:uiPriority w:val="99"/>
    <w:semiHidden/>
    <w:locked/>
    <w:rsid w:val="004D67C9"/>
    <w:rPr>
      <w:rFonts w:ascii="Calibri" w:hAnsi="Calibri" w:cs="Times New Roman"/>
      <w:sz w:val="20"/>
      <w:szCs w:val="20"/>
      <w:lang w:val="de-DE"/>
    </w:rPr>
  </w:style>
  <w:style w:type="character" w:styleId="Funotenzeichen">
    <w:name w:val="footnote reference"/>
    <w:basedOn w:val="Absatz-Standardschriftart"/>
    <w:uiPriority w:val="99"/>
    <w:semiHidden/>
    <w:rsid w:val="004D67C9"/>
    <w:rPr>
      <w:rFonts w:cs="Times New Roman"/>
      <w:vertAlign w:val="superscript"/>
    </w:rPr>
  </w:style>
  <w:style w:type="paragraph" w:styleId="Zitat">
    <w:name w:val="Quote"/>
    <w:basedOn w:val="Standard"/>
    <w:next w:val="Standard"/>
    <w:link w:val="ZitatZchn"/>
    <w:uiPriority w:val="99"/>
    <w:qFormat/>
    <w:rsid w:val="004D67C9"/>
    <w:pPr>
      <w:spacing w:before="0" w:after="200" w:line="276" w:lineRule="auto"/>
    </w:pPr>
    <w:rPr>
      <w:rFonts w:eastAsia="Calibri"/>
      <w:i/>
      <w:iCs/>
      <w:color w:val="000000"/>
      <w:szCs w:val="22"/>
      <w:lang w:val="en-GB" w:eastAsia="en-US"/>
    </w:rPr>
  </w:style>
  <w:style w:type="character" w:customStyle="1" w:styleId="ZitatZchn">
    <w:name w:val="Zitat Zchn"/>
    <w:basedOn w:val="Absatz-Standardschriftart"/>
    <w:link w:val="Zitat"/>
    <w:uiPriority w:val="99"/>
    <w:locked/>
    <w:rsid w:val="004D67C9"/>
    <w:rPr>
      <w:rFonts w:ascii="Calibri" w:hAnsi="Calibri" w:cs="Times New Roman"/>
      <w:i/>
      <w:iCs/>
      <w:color w:val="000000"/>
      <w:lang w:val="en-GB"/>
    </w:rPr>
  </w:style>
  <w:style w:type="character" w:styleId="Hervorhebung">
    <w:name w:val="Emphasis"/>
    <w:basedOn w:val="Absatz-Standardschriftart"/>
    <w:uiPriority w:val="99"/>
    <w:qFormat/>
    <w:rsid w:val="004D67C9"/>
    <w:rPr>
      <w:rFonts w:cs="Times New Roman"/>
      <w:i/>
      <w:iCs/>
    </w:rPr>
  </w:style>
  <w:style w:type="character" w:customStyle="1" w:styleId="apple-converted-space">
    <w:name w:val="apple-converted-space"/>
    <w:basedOn w:val="Absatz-Standardschriftart"/>
    <w:uiPriority w:val="99"/>
    <w:rsid w:val="004D67C9"/>
    <w:rPr>
      <w:rFonts w:cs="Times New Roman"/>
    </w:rPr>
  </w:style>
  <w:style w:type="paragraph" w:styleId="Verzeichnis2">
    <w:name w:val="toc 2"/>
    <w:basedOn w:val="Standard"/>
    <w:next w:val="Standard"/>
    <w:autoRedefine/>
    <w:uiPriority w:val="99"/>
    <w:rsid w:val="00546BEA"/>
    <w:pPr>
      <w:spacing w:after="100"/>
      <w:ind w:left="220"/>
    </w:pPr>
  </w:style>
  <w:style w:type="character" w:styleId="BesuchterHyperlink">
    <w:name w:val="FollowedHyperlink"/>
    <w:basedOn w:val="Absatz-Standardschriftart"/>
    <w:uiPriority w:val="99"/>
    <w:semiHidden/>
    <w:rsid w:val="00DB0E87"/>
    <w:rPr>
      <w:rFonts w:cs="Times New Roman"/>
      <w:color w:val="800080"/>
      <w:u w:val="single"/>
    </w:rPr>
  </w:style>
  <w:style w:type="character" w:styleId="Kommentarzeichen">
    <w:name w:val="annotation reference"/>
    <w:basedOn w:val="Absatz-Standardschriftart"/>
    <w:uiPriority w:val="99"/>
    <w:semiHidden/>
    <w:rsid w:val="00D03975"/>
    <w:rPr>
      <w:rFonts w:cs="Times New Roman"/>
      <w:sz w:val="16"/>
      <w:szCs w:val="16"/>
    </w:rPr>
  </w:style>
  <w:style w:type="paragraph" w:styleId="Kommentartext">
    <w:name w:val="annotation text"/>
    <w:basedOn w:val="Standard"/>
    <w:link w:val="KommentartextZchn"/>
    <w:uiPriority w:val="99"/>
    <w:semiHidden/>
    <w:rsid w:val="00D03975"/>
    <w:rPr>
      <w:sz w:val="20"/>
      <w:szCs w:val="20"/>
    </w:rPr>
  </w:style>
  <w:style w:type="character" w:customStyle="1" w:styleId="KommentartextZchn">
    <w:name w:val="Kommentartext Zchn"/>
    <w:basedOn w:val="Absatz-Standardschriftart"/>
    <w:link w:val="Kommentartext"/>
    <w:uiPriority w:val="99"/>
    <w:semiHidden/>
    <w:locked/>
    <w:rsid w:val="00615367"/>
    <w:rPr>
      <w:rFonts w:eastAsia="Times New Roman" w:cs="Times New Roman"/>
      <w:sz w:val="20"/>
      <w:szCs w:val="20"/>
      <w:lang w:val="el-GR" w:eastAsia="el-GR"/>
    </w:rPr>
  </w:style>
  <w:style w:type="paragraph" w:styleId="Kommentarthema">
    <w:name w:val="annotation subject"/>
    <w:basedOn w:val="Kommentartext"/>
    <w:next w:val="Kommentartext"/>
    <w:link w:val="KommentarthemaZchn"/>
    <w:uiPriority w:val="99"/>
    <w:semiHidden/>
    <w:rsid w:val="00D03975"/>
    <w:rPr>
      <w:b/>
      <w:bCs/>
    </w:rPr>
  </w:style>
  <w:style w:type="character" w:customStyle="1" w:styleId="KommentarthemaZchn">
    <w:name w:val="Kommentarthema Zchn"/>
    <w:basedOn w:val="KommentartextZchn"/>
    <w:link w:val="Kommentarthema"/>
    <w:uiPriority w:val="99"/>
    <w:semiHidden/>
    <w:locked/>
    <w:rsid w:val="00615367"/>
    <w:rPr>
      <w:rFonts w:eastAsia="Times New Roman" w:cs="Times New Roman"/>
      <w:b/>
      <w:bCs/>
      <w:sz w:val="20"/>
      <w:szCs w:val="20"/>
      <w:lang w:val="el-GR" w:eastAsia="el-GR"/>
    </w:rPr>
  </w:style>
  <w:style w:type="paragraph" w:styleId="Untertitel">
    <w:name w:val="Subtitle"/>
    <w:basedOn w:val="Standard"/>
    <w:next w:val="Standard"/>
    <w:link w:val="UntertitelZchn"/>
    <w:qFormat/>
    <w:locked/>
    <w:rsid w:val="00564BC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564BC7"/>
    <w:rPr>
      <w:rFonts w:asciiTheme="majorHAnsi" w:eastAsiaTheme="majorEastAsia" w:hAnsiTheme="majorHAnsi" w:cstheme="majorBidi"/>
      <w:i/>
      <w:iCs/>
      <w:color w:val="4F81BD" w:themeColor="accent1"/>
      <w:spacing w:val="15"/>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7C9"/>
    <w:pPr>
      <w:spacing w:before="120" w:after="120" w:line="360" w:lineRule="auto"/>
    </w:pPr>
    <w:rPr>
      <w:rFonts w:eastAsia="Times New Roman"/>
      <w:sz w:val="22"/>
      <w:szCs w:val="24"/>
      <w:lang w:val="el-GR" w:eastAsia="el-GR"/>
    </w:rPr>
  </w:style>
  <w:style w:type="paragraph" w:styleId="berschrift1">
    <w:name w:val="heading 1"/>
    <w:basedOn w:val="Standard"/>
    <w:next w:val="Standard"/>
    <w:link w:val="berschrift1Zchn"/>
    <w:uiPriority w:val="99"/>
    <w:qFormat/>
    <w:rsid w:val="004D67C9"/>
    <w:pPr>
      <w:keepNext/>
      <w:spacing w:before="240" w:after="60" w:line="276" w:lineRule="auto"/>
      <w:outlineLvl w:val="0"/>
    </w:pPr>
    <w:rPr>
      <w:rFonts w:ascii="Cambria" w:hAnsi="Cambria"/>
      <w:b/>
      <w:bCs/>
      <w:kern w:val="32"/>
      <w:sz w:val="32"/>
      <w:szCs w:val="32"/>
      <w:lang w:val="de-DE" w:eastAsia="en-US"/>
    </w:rPr>
  </w:style>
  <w:style w:type="paragraph" w:styleId="berschrift2">
    <w:name w:val="heading 2"/>
    <w:basedOn w:val="Standard"/>
    <w:next w:val="Standard"/>
    <w:link w:val="berschrift2Zchn"/>
    <w:uiPriority w:val="99"/>
    <w:qFormat/>
    <w:rsid w:val="00F1047C"/>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67C9"/>
    <w:rPr>
      <w:rFonts w:ascii="Cambria" w:hAnsi="Cambria" w:cs="Times New Roman"/>
      <w:b/>
      <w:bCs/>
      <w:kern w:val="32"/>
      <w:sz w:val="32"/>
      <w:szCs w:val="32"/>
      <w:lang w:val="de-DE"/>
    </w:rPr>
  </w:style>
  <w:style w:type="character" w:customStyle="1" w:styleId="berschrift2Zchn">
    <w:name w:val="Überschrift 2 Zchn"/>
    <w:basedOn w:val="Absatz-Standardschriftart"/>
    <w:link w:val="berschrift2"/>
    <w:uiPriority w:val="99"/>
    <w:locked/>
    <w:rsid w:val="00F1047C"/>
    <w:rPr>
      <w:rFonts w:ascii="Cambria" w:hAnsi="Cambria" w:cs="Times New Roman"/>
      <w:b/>
      <w:bCs/>
      <w:color w:val="4F81BD"/>
      <w:sz w:val="26"/>
      <w:szCs w:val="26"/>
      <w:lang w:eastAsia="el-GR"/>
    </w:rPr>
  </w:style>
  <w:style w:type="paragraph" w:styleId="Fuzeile">
    <w:name w:val="footer"/>
    <w:basedOn w:val="Standard"/>
    <w:link w:val="FuzeileZchn"/>
    <w:uiPriority w:val="99"/>
    <w:rsid w:val="004D67C9"/>
    <w:pPr>
      <w:tabs>
        <w:tab w:val="center" w:pos="4153"/>
        <w:tab w:val="right" w:pos="8306"/>
      </w:tabs>
    </w:pPr>
  </w:style>
  <w:style w:type="character" w:customStyle="1" w:styleId="FuzeileZchn">
    <w:name w:val="Fußzeile Zchn"/>
    <w:basedOn w:val="Absatz-Standardschriftart"/>
    <w:link w:val="Fuzeile"/>
    <w:uiPriority w:val="99"/>
    <w:locked/>
    <w:rsid w:val="004D67C9"/>
    <w:rPr>
      <w:rFonts w:ascii="Calibri" w:hAnsi="Calibri" w:cs="Times New Roman"/>
      <w:sz w:val="24"/>
      <w:szCs w:val="24"/>
      <w:lang w:eastAsia="el-GR"/>
    </w:rPr>
  </w:style>
  <w:style w:type="character" w:styleId="Seitenzahl">
    <w:name w:val="page number"/>
    <w:basedOn w:val="Absatz-Standardschriftart"/>
    <w:uiPriority w:val="99"/>
    <w:rsid w:val="004D67C9"/>
    <w:rPr>
      <w:rFonts w:cs="Times New Roman"/>
    </w:rPr>
  </w:style>
  <w:style w:type="table" w:styleId="Tabellenraster">
    <w:name w:val="Table Grid"/>
    <w:basedOn w:val="NormaleTabelle"/>
    <w:uiPriority w:val="99"/>
    <w:rsid w:val="004D67C9"/>
    <w:rPr>
      <w:rFonts w:ascii="Times New Roman" w:eastAsia="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Standard"/>
    <w:uiPriority w:val="99"/>
    <w:rsid w:val="004D67C9"/>
    <w:pPr>
      <w:spacing w:line="240" w:lineRule="auto"/>
      <w:jc w:val="center"/>
    </w:pPr>
    <w:rPr>
      <w:rFonts w:ascii="Garamond" w:hAnsi="Garamond"/>
      <w:b/>
      <w:color w:val="404040"/>
      <w:spacing w:val="40"/>
      <w:sz w:val="40"/>
      <w:u w:color="D9D9D9"/>
    </w:rPr>
  </w:style>
  <w:style w:type="character" w:styleId="Hyperlink">
    <w:name w:val="Hyperlink"/>
    <w:basedOn w:val="Absatz-Standardschriftart"/>
    <w:uiPriority w:val="99"/>
    <w:rsid w:val="004D67C9"/>
    <w:rPr>
      <w:rFonts w:cs="Times New Roman"/>
      <w:color w:val="0000FF"/>
      <w:u w:val="single"/>
    </w:rPr>
  </w:style>
  <w:style w:type="paragraph" w:styleId="Verzeichnis1">
    <w:name w:val="toc 1"/>
    <w:basedOn w:val="Standard"/>
    <w:next w:val="Standard"/>
    <w:autoRedefine/>
    <w:uiPriority w:val="99"/>
    <w:rsid w:val="004D67C9"/>
    <w:rPr>
      <w:rFonts w:ascii="Tahoma" w:hAnsi="Tahoma"/>
      <w:b/>
      <w:bCs/>
      <w:color w:val="595959"/>
      <w:szCs w:val="20"/>
    </w:rPr>
  </w:style>
  <w:style w:type="paragraph" w:customStyle="1" w:styleId="StyleTitleTOC">
    <w:name w:val="Style Title TOC"/>
    <w:basedOn w:val="Standard"/>
    <w:uiPriority w:val="99"/>
    <w:rsid w:val="004D67C9"/>
    <w:pPr>
      <w:jc w:val="center"/>
    </w:pPr>
    <w:rPr>
      <w:b/>
    </w:rPr>
  </w:style>
  <w:style w:type="paragraph" w:styleId="Sprechblasentext">
    <w:name w:val="Balloon Text"/>
    <w:basedOn w:val="Standard"/>
    <w:link w:val="SprechblasentextZchn"/>
    <w:uiPriority w:val="99"/>
    <w:semiHidden/>
    <w:rsid w:val="004D67C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67C9"/>
    <w:rPr>
      <w:rFonts w:ascii="Tahoma" w:hAnsi="Tahoma" w:cs="Tahoma"/>
      <w:sz w:val="16"/>
      <w:szCs w:val="16"/>
      <w:lang w:eastAsia="el-GR"/>
    </w:rPr>
  </w:style>
  <w:style w:type="paragraph" w:styleId="Textkrper">
    <w:name w:val="Body Text"/>
    <w:basedOn w:val="Standard"/>
    <w:link w:val="TextkrperZchn"/>
    <w:uiPriority w:val="99"/>
    <w:rsid w:val="004D67C9"/>
    <w:pPr>
      <w:spacing w:before="0" w:line="276" w:lineRule="auto"/>
    </w:pPr>
    <w:rPr>
      <w:rFonts w:eastAsia="Calibri"/>
      <w:szCs w:val="22"/>
      <w:lang w:val="de-DE" w:eastAsia="en-US"/>
    </w:rPr>
  </w:style>
  <w:style w:type="character" w:customStyle="1" w:styleId="TextkrperZchn">
    <w:name w:val="Textkörper Zchn"/>
    <w:basedOn w:val="Absatz-Standardschriftart"/>
    <w:link w:val="Textkrper"/>
    <w:uiPriority w:val="99"/>
    <w:locked/>
    <w:rsid w:val="004D67C9"/>
    <w:rPr>
      <w:rFonts w:ascii="Calibri" w:hAnsi="Calibri" w:cs="Times New Roman"/>
      <w:lang w:val="de-DE"/>
    </w:rPr>
  </w:style>
  <w:style w:type="paragraph" w:styleId="Listenabsatz">
    <w:name w:val="List Paragraph"/>
    <w:basedOn w:val="Standard"/>
    <w:uiPriority w:val="99"/>
    <w:qFormat/>
    <w:rsid w:val="004D67C9"/>
    <w:pPr>
      <w:spacing w:before="0" w:after="200" w:line="276" w:lineRule="auto"/>
      <w:ind w:left="720"/>
      <w:contextualSpacing/>
    </w:pPr>
    <w:rPr>
      <w:rFonts w:eastAsia="Calibri"/>
      <w:szCs w:val="22"/>
      <w:lang w:val="de-DE" w:eastAsia="en-US"/>
    </w:rPr>
  </w:style>
  <w:style w:type="paragraph" w:styleId="Funotentext">
    <w:name w:val="footnote text"/>
    <w:basedOn w:val="Standard"/>
    <w:link w:val="FunotentextZchn"/>
    <w:uiPriority w:val="99"/>
    <w:semiHidden/>
    <w:rsid w:val="004D67C9"/>
    <w:pPr>
      <w:spacing w:before="0" w:after="0" w:line="240" w:lineRule="auto"/>
    </w:pPr>
    <w:rPr>
      <w:rFonts w:eastAsia="Calibri"/>
      <w:sz w:val="20"/>
      <w:szCs w:val="20"/>
      <w:lang w:val="de-DE" w:eastAsia="en-US"/>
    </w:rPr>
  </w:style>
  <w:style w:type="character" w:customStyle="1" w:styleId="FunotentextZchn">
    <w:name w:val="Fußnotentext Zchn"/>
    <w:basedOn w:val="Absatz-Standardschriftart"/>
    <w:link w:val="Funotentext"/>
    <w:uiPriority w:val="99"/>
    <w:semiHidden/>
    <w:locked/>
    <w:rsid w:val="004D67C9"/>
    <w:rPr>
      <w:rFonts w:ascii="Calibri" w:hAnsi="Calibri" w:cs="Times New Roman"/>
      <w:sz w:val="20"/>
      <w:szCs w:val="20"/>
      <w:lang w:val="de-DE"/>
    </w:rPr>
  </w:style>
  <w:style w:type="character" w:styleId="Funotenzeichen">
    <w:name w:val="footnote reference"/>
    <w:basedOn w:val="Absatz-Standardschriftart"/>
    <w:uiPriority w:val="99"/>
    <w:semiHidden/>
    <w:rsid w:val="004D67C9"/>
    <w:rPr>
      <w:rFonts w:cs="Times New Roman"/>
      <w:vertAlign w:val="superscript"/>
    </w:rPr>
  </w:style>
  <w:style w:type="paragraph" w:styleId="Zitat">
    <w:name w:val="Quote"/>
    <w:basedOn w:val="Standard"/>
    <w:next w:val="Standard"/>
    <w:link w:val="ZitatZchn"/>
    <w:uiPriority w:val="99"/>
    <w:qFormat/>
    <w:rsid w:val="004D67C9"/>
    <w:pPr>
      <w:spacing w:before="0" w:after="200" w:line="276" w:lineRule="auto"/>
    </w:pPr>
    <w:rPr>
      <w:rFonts w:eastAsia="Calibri"/>
      <w:i/>
      <w:iCs/>
      <w:color w:val="000000"/>
      <w:szCs w:val="22"/>
      <w:lang w:val="en-GB" w:eastAsia="en-US"/>
    </w:rPr>
  </w:style>
  <w:style w:type="character" w:customStyle="1" w:styleId="ZitatZchn">
    <w:name w:val="Zitat Zchn"/>
    <w:basedOn w:val="Absatz-Standardschriftart"/>
    <w:link w:val="Zitat"/>
    <w:uiPriority w:val="99"/>
    <w:locked/>
    <w:rsid w:val="004D67C9"/>
    <w:rPr>
      <w:rFonts w:ascii="Calibri" w:hAnsi="Calibri" w:cs="Times New Roman"/>
      <w:i/>
      <w:iCs/>
      <w:color w:val="000000"/>
      <w:lang w:val="en-GB"/>
    </w:rPr>
  </w:style>
  <w:style w:type="character" w:styleId="Hervorhebung">
    <w:name w:val="Emphasis"/>
    <w:basedOn w:val="Absatz-Standardschriftart"/>
    <w:uiPriority w:val="99"/>
    <w:qFormat/>
    <w:rsid w:val="004D67C9"/>
    <w:rPr>
      <w:rFonts w:cs="Times New Roman"/>
      <w:i/>
      <w:iCs/>
    </w:rPr>
  </w:style>
  <w:style w:type="character" w:customStyle="1" w:styleId="apple-converted-space">
    <w:name w:val="apple-converted-space"/>
    <w:basedOn w:val="Absatz-Standardschriftart"/>
    <w:uiPriority w:val="99"/>
    <w:rsid w:val="004D67C9"/>
    <w:rPr>
      <w:rFonts w:cs="Times New Roman"/>
    </w:rPr>
  </w:style>
  <w:style w:type="paragraph" w:styleId="Verzeichnis2">
    <w:name w:val="toc 2"/>
    <w:basedOn w:val="Standard"/>
    <w:next w:val="Standard"/>
    <w:autoRedefine/>
    <w:uiPriority w:val="99"/>
    <w:rsid w:val="00546BEA"/>
    <w:pPr>
      <w:spacing w:after="100"/>
      <w:ind w:left="220"/>
    </w:pPr>
  </w:style>
  <w:style w:type="character" w:styleId="BesuchterHyperlink">
    <w:name w:val="FollowedHyperlink"/>
    <w:basedOn w:val="Absatz-Standardschriftart"/>
    <w:uiPriority w:val="99"/>
    <w:semiHidden/>
    <w:rsid w:val="00DB0E87"/>
    <w:rPr>
      <w:rFonts w:cs="Times New Roman"/>
      <w:color w:val="800080"/>
      <w:u w:val="single"/>
    </w:rPr>
  </w:style>
  <w:style w:type="character" w:styleId="Kommentarzeichen">
    <w:name w:val="annotation reference"/>
    <w:basedOn w:val="Absatz-Standardschriftart"/>
    <w:uiPriority w:val="99"/>
    <w:semiHidden/>
    <w:rsid w:val="00D03975"/>
    <w:rPr>
      <w:rFonts w:cs="Times New Roman"/>
      <w:sz w:val="16"/>
      <w:szCs w:val="16"/>
    </w:rPr>
  </w:style>
  <w:style w:type="paragraph" w:styleId="Kommentartext">
    <w:name w:val="annotation text"/>
    <w:basedOn w:val="Standard"/>
    <w:link w:val="KommentartextZchn"/>
    <w:uiPriority w:val="99"/>
    <w:semiHidden/>
    <w:rsid w:val="00D03975"/>
    <w:rPr>
      <w:sz w:val="20"/>
      <w:szCs w:val="20"/>
    </w:rPr>
  </w:style>
  <w:style w:type="character" w:customStyle="1" w:styleId="KommentartextZchn">
    <w:name w:val="Kommentartext Zchn"/>
    <w:basedOn w:val="Absatz-Standardschriftart"/>
    <w:link w:val="Kommentartext"/>
    <w:uiPriority w:val="99"/>
    <w:semiHidden/>
    <w:locked/>
    <w:rsid w:val="00615367"/>
    <w:rPr>
      <w:rFonts w:eastAsia="Times New Roman" w:cs="Times New Roman"/>
      <w:sz w:val="20"/>
      <w:szCs w:val="20"/>
      <w:lang w:val="el-GR" w:eastAsia="el-GR"/>
    </w:rPr>
  </w:style>
  <w:style w:type="paragraph" w:styleId="Kommentarthema">
    <w:name w:val="annotation subject"/>
    <w:basedOn w:val="Kommentartext"/>
    <w:next w:val="Kommentartext"/>
    <w:link w:val="KommentarthemaZchn"/>
    <w:uiPriority w:val="99"/>
    <w:semiHidden/>
    <w:rsid w:val="00D03975"/>
    <w:rPr>
      <w:b/>
      <w:bCs/>
    </w:rPr>
  </w:style>
  <w:style w:type="character" w:customStyle="1" w:styleId="KommentarthemaZchn">
    <w:name w:val="Kommentarthema Zchn"/>
    <w:basedOn w:val="KommentartextZchn"/>
    <w:link w:val="Kommentarthema"/>
    <w:uiPriority w:val="99"/>
    <w:semiHidden/>
    <w:locked/>
    <w:rsid w:val="00615367"/>
    <w:rPr>
      <w:rFonts w:eastAsia="Times New Roman" w:cs="Times New Roman"/>
      <w:b/>
      <w:bCs/>
      <w:sz w:val="20"/>
      <w:szCs w:val="20"/>
      <w:lang w:val="el-GR" w:eastAsia="el-GR"/>
    </w:rPr>
  </w:style>
  <w:style w:type="paragraph" w:styleId="Untertitel">
    <w:name w:val="Subtitle"/>
    <w:basedOn w:val="Standard"/>
    <w:next w:val="Standard"/>
    <w:link w:val="UntertitelZchn"/>
    <w:qFormat/>
    <w:locked/>
    <w:rsid w:val="00564BC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564BC7"/>
    <w:rPr>
      <w:rFonts w:asciiTheme="majorHAnsi" w:eastAsiaTheme="majorEastAsia" w:hAnsiTheme="majorHAnsi" w:cstheme="majorBidi"/>
      <w:i/>
      <w:iCs/>
      <w:color w:val="4F81BD" w:themeColor="accent1"/>
      <w:spacing w:val="15"/>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nd/3.0/" TargetMode="External"/><Relationship Id="rId18" Type="http://schemas.openxmlformats.org/officeDocument/2006/relationships/image" Target="media/image2.png"/><Relationship Id="rId26" Type="http://schemas.openxmlformats.org/officeDocument/2006/relationships/hyperlink" Target="http://www2.ohchr.org/english/law/cerd.htm" TargetMode="External"/><Relationship Id="rId3" Type="http://schemas.microsoft.com/office/2007/relationships/stylesWithEffects" Target="stylesWithEffects.xml"/><Relationship Id="rId21" Type="http://schemas.openxmlformats.org/officeDocument/2006/relationships/hyperlink" Target="http://www2.ohchr.org/english/law/ccpr.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nd/3.0/" TargetMode="External"/><Relationship Id="rId17" Type="http://schemas.openxmlformats.org/officeDocument/2006/relationships/hyperlink" Target="http://creativecommons.org/licenses/by-" TargetMode="External"/><Relationship Id="rId25" Type="http://schemas.openxmlformats.org/officeDocument/2006/relationships/hyperlink" Target="http://www2.ohchr.org/english/law/crc.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nc-nd/3.0/" TargetMode="External"/><Relationship Id="rId20" Type="http://schemas.openxmlformats.org/officeDocument/2006/relationships/hyperlink" Target="http://www2.ohchr.org/english/law/cerd.htm" TargetMode="External"/><Relationship Id="rId29" Type="http://schemas.openxmlformats.org/officeDocument/2006/relationships/hyperlink" Target="http://www.un.org/womenwatch/daw/cedaw/text/econven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nd/3.0/" TargetMode="External"/><Relationship Id="rId24" Type="http://schemas.openxmlformats.org/officeDocument/2006/relationships/hyperlink" Target="http://www2.ohchr.org/english/law/cat.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nc-nd/3.0/" TargetMode="External"/><Relationship Id="rId23" Type="http://schemas.openxmlformats.org/officeDocument/2006/relationships/hyperlink" Target="http://www.un.org/womenwatch/daw/cedaw/text/econvention.htm" TargetMode="External"/><Relationship Id="rId28" Type="http://schemas.openxmlformats.org/officeDocument/2006/relationships/hyperlink" Target="http://www2.ohchr.org/english/law/cat.htm" TargetMode="External"/><Relationship Id="rId10" Type="http://schemas.openxmlformats.org/officeDocument/2006/relationships/hyperlink" Target="http://creativecommons.org/licenses/by-nc-nd/3.0/" TargetMode="External"/><Relationship Id="rId19" Type="http://schemas.openxmlformats.org/officeDocument/2006/relationships/image" Target="media/image3.jpeg"/><Relationship Id="rId31" Type="http://schemas.openxmlformats.org/officeDocument/2006/relationships/hyperlink" Target="http://www.unict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c-nd/3.0/" TargetMode="External"/><Relationship Id="rId22" Type="http://schemas.openxmlformats.org/officeDocument/2006/relationships/hyperlink" Target="http://www2.ohchr.org/english/law/cescr.htm" TargetMode="External"/><Relationship Id="rId27" Type="http://schemas.openxmlformats.org/officeDocument/2006/relationships/hyperlink" Target="http://www2.ohchr.org/english/law/ccpr-one.htm" TargetMode="External"/><Relationship Id="rId30" Type="http://schemas.openxmlformats.org/officeDocument/2006/relationships/hyperlink" Target="http://www.ic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2214</Words>
  <Characters>14076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Stevy</dc:creator>
  <cp:keywords/>
  <dc:description/>
  <cp:lastModifiedBy>crittit6</cp:lastModifiedBy>
  <cp:revision>2</cp:revision>
  <cp:lastPrinted>2013-02-27T12:19:00Z</cp:lastPrinted>
  <dcterms:created xsi:type="dcterms:W3CDTF">2013-03-27T12:19:00Z</dcterms:created>
  <dcterms:modified xsi:type="dcterms:W3CDTF">2013-03-27T12:19:00Z</dcterms:modified>
</cp:coreProperties>
</file>