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9D" w:rsidRDefault="002310CF" w:rsidP="004D67C9">
      <w:pPr>
        <w:pStyle w:val="MainTitle"/>
        <w:rPr>
          <w:rFonts w:ascii="Verdana" w:hAnsi="Verdana"/>
          <w:lang w:val="en-US"/>
        </w:rPr>
      </w:pPr>
      <w:bookmarkStart w:id="0" w:name="_GoBack"/>
      <w:bookmarkEnd w:id="0"/>
      <w:r>
        <w:rPr>
          <w:rFonts w:ascii="Verdana" w:hAnsi="Verdana"/>
          <w:noProof/>
        </w:rPr>
        <w:drawing>
          <wp:inline distT="0" distB="0" distL="0" distR="0">
            <wp:extent cx="5250180" cy="2545080"/>
            <wp:effectExtent l="0" t="0" r="0" b="7620"/>
            <wp:docPr id="1" name="Picture 0" descr="ARTip_logo_no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ip_logo_no_bor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0180" cy="2545080"/>
                    </a:xfrm>
                    <a:prstGeom prst="rect">
                      <a:avLst/>
                    </a:prstGeom>
                    <a:noFill/>
                    <a:ln>
                      <a:noFill/>
                    </a:ln>
                  </pic:spPr>
                </pic:pic>
              </a:graphicData>
            </a:graphic>
          </wp:inline>
        </w:drawing>
      </w:r>
    </w:p>
    <w:p w:rsidR="0034169D" w:rsidRDefault="0034169D" w:rsidP="004D67C9">
      <w:pPr>
        <w:pStyle w:val="MainTitle"/>
        <w:rPr>
          <w:rFonts w:ascii="Verdana" w:hAnsi="Verdana"/>
          <w:lang w:val="en-US"/>
        </w:rPr>
      </w:pPr>
    </w:p>
    <w:p w:rsidR="0034169D" w:rsidRDefault="0034169D" w:rsidP="004D67C9">
      <w:pPr>
        <w:pStyle w:val="MainTitle"/>
        <w:rPr>
          <w:rFonts w:ascii="Verdana" w:hAnsi="Verdana"/>
          <w:sz w:val="44"/>
          <w:lang w:val="en-US"/>
        </w:rPr>
      </w:pPr>
    </w:p>
    <w:p w:rsidR="0034169D" w:rsidRDefault="0034169D" w:rsidP="004D67C9">
      <w:pPr>
        <w:pStyle w:val="MainTitle"/>
        <w:rPr>
          <w:rFonts w:ascii="Verdana" w:hAnsi="Verdana"/>
          <w:sz w:val="44"/>
          <w:lang w:val="en-US"/>
        </w:rPr>
      </w:pPr>
    </w:p>
    <w:p w:rsidR="0034169D" w:rsidRDefault="00AD548C" w:rsidP="004D67C9">
      <w:pPr>
        <w:pStyle w:val="MainTitle"/>
        <w:rPr>
          <w:rFonts w:ascii="Verdana" w:hAnsi="Verdana"/>
          <w:color w:val="000000"/>
          <w:sz w:val="52"/>
          <w:lang w:val="en-US"/>
        </w:rPr>
      </w:pPr>
      <w:r w:rsidRPr="00AD548C">
        <w:rPr>
          <w:rFonts w:ascii="Calibri" w:hAnsi="Calibri" w:cs="Calibri"/>
          <w:color w:val="82A9D1"/>
          <w:spacing w:val="0"/>
          <w:sz w:val="44"/>
          <w:szCs w:val="44"/>
          <w:lang w:val="en-US"/>
        </w:rPr>
        <w:t>Mecanismos y Procedimientos para la Supervisión de Derechos Humanos Internacionales</w:t>
      </w:r>
    </w:p>
    <w:p w:rsidR="0034169D" w:rsidRDefault="0034169D" w:rsidP="004D67C9">
      <w:pPr>
        <w:pStyle w:val="MainTitle"/>
        <w:rPr>
          <w:rFonts w:ascii="Verdana" w:hAnsi="Verdana"/>
          <w:color w:val="000000"/>
          <w:sz w:val="52"/>
          <w:lang w:val="en-US"/>
        </w:rPr>
      </w:pPr>
    </w:p>
    <w:p w:rsidR="0034169D" w:rsidRDefault="0034169D" w:rsidP="004D67C9">
      <w:pPr>
        <w:pStyle w:val="MainTitle"/>
        <w:rPr>
          <w:rFonts w:ascii="Verdana" w:hAnsi="Verdana"/>
          <w:color w:val="000000"/>
          <w:sz w:val="52"/>
          <w:lang w:val="en-US"/>
        </w:rPr>
      </w:pPr>
    </w:p>
    <w:p w:rsidR="0034169D" w:rsidRDefault="0034169D" w:rsidP="004D67C9">
      <w:pPr>
        <w:pStyle w:val="MainTitle"/>
        <w:rPr>
          <w:rFonts w:ascii="Verdana" w:hAnsi="Verdana"/>
          <w:color w:val="000000"/>
          <w:sz w:val="52"/>
          <w:lang w:val="en-US"/>
        </w:rPr>
      </w:pPr>
    </w:p>
    <w:p w:rsidR="0034169D" w:rsidRDefault="0034169D" w:rsidP="004D67C9">
      <w:pPr>
        <w:spacing w:before="0" w:after="0" w:line="240" w:lineRule="auto"/>
        <w:rPr>
          <w:rFonts w:ascii="Verdana" w:hAnsi="Verdana"/>
          <w:color w:val="000000"/>
          <w:sz w:val="52"/>
          <w:lang w:val="en-US"/>
        </w:rPr>
        <w:sectPr w:rsidR="0034169D" w:rsidSect="005A6499">
          <w:footerReference w:type="default" r:id="rId8"/>
          <w:pgSz w:w="11906" w:h="16838"/>
          <w:pgMar w:top="1438" w:right="1134" w:bottom="1797" w:left="1134" w:header="709" w:footer="709" w:gutter="0"/>
          <w:cols w:space="708"/>
          <w:titlePg/>
          <w:docGrid w:linePitch="360"/>
        </w:sectPr>
      </w:pPr>
    </w:p>
    <w:p w:rsidR="0034169D" w:rsidRDefault="0034169D" w:rsidP="000A3099">
      <w:pPr>
        <w:pStyle w:val="MainTitle"/>
        <w:rPr>
          <w:lang w:val="en-US"/>
        </w:rPr>
      </w:pPr>
      <w:r>
        <w:rPr>
          <w:lang w:val="en-US"/>
        </w:rPr>
        <w:lastRenderedPageBreak/>
        <w:t>[</w:t>
      </w:r>
      <w:r w:rsidRPr="00F11535">
        <w:rPr>
          <w:lang w:val="en-US"/>
        </w:rPr>
        <w:t>page left blank on purpose]</w:t>
      </w:r>
    </w:p>
    <w:p w:rsidR="0034169D" w:rsidRDefault="0034169D" w:rsidP="000A3099">
      <w:pPr>
        <w:pStyle w:val="MainTitle"/>
        <w:rPr>
          <w:lang w:val="en-US"/>
        </w:rPr>
      </w:pPr>
      <w:r>
        <w:rPr>
          <w:lang w:val="en-US"/>
        </w:rPr>
        <w:br w:type="page"/>
      </w:r>
    </w:p>
    <w:p w:rsidR="0034169D" w:rsidRDefault="0034169D" w:rsidP="000A3099">
      <w:pPr>
        <w:pStyle w:val="MainTitle"/>
        <w:rPr>
          <w:sz w:val="20"/>
          <w:szCs w:val="20"/>
          <w:lang w:val="en-US"/>
        </w:rPr>
      </w:pPr>
    </w:p>
    <w:p w:rsidR="0034169D" w:rsidRPr="005816B9" w:rsidRDefault="0034169D" w:rsidP="004D67C9">
      <w:pPr>
        <w:jc w:val="center"/>
        <w:rPr>
          <w:sz w:val="20"/>
          <w:szCs w:val="20"/>
          <w:lang w:val="en-US"/>
        </w:rPr>
      </w:pPr>
      <w:r w:rsidRPr="005816B9">
        <w:rPr>
          <w:sz w:val="20"/>
          <w:szCs w:val="20"/>
          <w:lang w:val="en-US"/>
        </w:rPr>
        <w:t xml:space="preserve">This work is licensed under a </w:t>
      </w:r>
    </w:p>
    <w:p w:rsidR="0034169D" w:rsidRPr="005816B9" w:rsidRDefault="00026F56" w:rsidP="004D67C9">
      <w:pPr>
        <w:jc w:val="center"/>
        <w:rPr>
          <w:sz w:val="20"/>
          <w:szCs w:val="20"/>
          <w:lang w:val="en-US"/>
        </w:rPr>
      </w:pPr>
      <w:hyperlink r:id="rId9" w:history="1">
        <w:r w:rsidR="0034169D" w:rsidRPr="005816B9">
          <w:rPr>
            <w:rStyle w:val="Hyperlink"/>
            <w:sz w:val="20"/>
            <w:szCs w:val="20"/>
            <w:lang w:val="en-US"/>
          </w:rPr>
          <w:t>Creative Commons Attribution-</w:t>
        </w:r>
      </w:hyperlink>
      <w:hyperlink r:id="rId10" w:history="1">
        <w:r w:rsidR="0034169D" w:rsidRPr="005816B9">
          <w:rPr>
            <w:rStyle w:val="Hyperlink"/>
            <w:sz w:val="20"/>
            <w:szCs w:val="20"/>
            <w:lang w:val="en-US"/>
          </w:rPr>
          <w:t>NonCommercial</w:t>
        </w:r>
      </w:hyperlink>
      <w:hyperlink r:id="rId11" w:history="1">
        <w:r w:rsidR="0034169D" w:rsidRPr="005816B9">
          <w:rPr>
            <w:rStyle w:val="Hyperlink"/>
            <w:sz w:val="20"/>
            <w:szCs w:val="20"/>
            <w:lang w:val="en-US"/>
          </w:rPr>
          <w:t>-</w:t>
        </w:r>
      </w:hyperlink>
      <w:hyperlink r:id="rId12" w:history="1">
        <w:r w:rsidR="0034169D" w:rsidRPr="005816B9">
          <w:rPr>
            <w:rStyle w:val="Hyperlink"/>
            <w:sz w:val="20"/>
            <w:szCs w:val="20"/>
            <w:lang w:val="en-US"/>
          </w:rPr>
          <w:t>NoDerivs</w:t>
        </w:r>
      </w:hyperlink>
      <w:hyperlink r:id="rId13" w:history="1">
        <w:r w:rsidR="0034169D" w:rsidRPr="005816B9">
          <w:rPr>
            <w:rStyle w:val="Hyperlink"/>
            <w:sz w:val="20"/>
            <w:szCs w:val="20"/>
            <w:lang w:val="en-US"/>
          </w:rPr>
          <w:t xml:space="preserve"> 3.0 </w:t>
        </w:r>
      </w:hyperlink>
      <w:hyperlink r:id="rId14" w:history="1">
        <w:r w:rsidR="0034169D" w:rsidRPr="005816B9">
          <w:rPr>
            <w:rStyle w:val="Hyperlink"/>
            <w:sz w:val="20"/>
            <w:szCs w:val="20"/>
            <w:lang w:val="en-US"/>
          </w:rPr>
          <w:t>Unported</w:t>
        </w:r>
      </w:hyperlink>
      <w:hyperlink r:id="rId15" w:history="1">
        <w:r w:rsidR="0034169D" w:rsidRPr="005816B9">
          <w:rPr>
            <w:rStyle w:val="Hyperlink"/>
            <w:sz w:val="20"/>
            <w:szCs w:val="20"/>
            <w:lang w:val="en-US"/>
          </w:rPr>
          <w:t xml:space="preserve"> License</w:t>
        </w:r>
      </w:hyperlink>
      <w:r w:rsidR="0034169D" w:rsidRPr="005816B9">
        <w:rPr>
          <w:sz w:val="20"/>
          <w:szCs w:val="20"/>
          <w:lang w:val="en-US"/>
        </w:rPr>
        <w:t>.</w:t>
      </w:r>
    </w:p>
    <w:p w:rsidR="0034169D" w:rsidRPr="00D66FAF" w:rsidRDefault="002310CF" w:rsidP="004D67C9">
      <w:pPr>
        <w:jc w:val="center"/>
        <w:rPr>
          <w:highlight w:val="yellow"/>
        </w:rPr>
      </w:pPr>
      <w:r>
        <w:rPr>
          <w:noProof/>
        </w:rPr>
        <w:drawing>
          <wp:inline distT="0" distB="0" distL="0" distR="0">
            <wp:extent cx="1493520" cy="525780"/>
            <wp:effectExtent l="0" t="0" r="0" b="7620"/>
            <wp:docPr id="2" name="Picture 1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3520" cy="525780"/>
                    </a:xfrm>
                    <a:prstGeom prst="rect">
                      <a:avLst/>
                    </a:prstGeom>
                    <a:noFill/>
                    <a:ln>
                      <a:noFill/>
                    </a:ln>
                  </pic:spPr>
                </pic:pic>
              </a:graphicData>
            </a:graphic>
          </wp:inline>
        </w:drawing>
      </w:r>
    </w:p>
    <w:p w:rsidR="0034169D" w:rsidRPr="005816B9" w:rsidRDefault="0034169D" w:rsidP="004D67C9">
      <w:pPr>
        <w:jc w:val="center"/>
        <w:rPr>
          <w:i/>
          <w:iCs/>
          <w:sz w:val="18"/>
          <w:szCs w:val="18"/>
          <w:lang w:val="en-US"/>
        </w:rPr>
      </w:pPr>
    </w:p>
    <w:p w:rsidR="0034169D" w:rsidRPr="005816B9" w:rsidRDefault="0034169D" w:rsidP="004D67C9">
      <w:pPr>
        <w:jc w:val="center"/>
        <w:rPr>
          <w:sz w:val="20"/>
          <w:szCs w:val="20"/>
          <w:lang w:val="en-US"/>
        </w:rPr>
      </w:pPr>
      <w:r w:rsidRPr="005816B9">
        <w:rPr>
          <w:i/>
          <w:iCs/>
          <w:sz w:val="20"/>
          <w:szCs w:val="20"/>
          <w:lang w:val="en-US"/>
        </w:rPr>
        <w:t>This project has been funded with support from the European Commission. This communication reflects the views only of the author(s), and the Commission cannot be held responsible for any use which may be made of the information contained therein.</w:t>
      </w:r>
    </w:p>
    <w:p w:rsidR="0034169D" w:rsidRDefault="002310CF" w:rsidP="004D67C9">
      <w:pPr>
        <w:rPr>
          <w:lang w:val="en-US"/>
        </w:rPr>
      </w:pPr>
      <w:r>
        <w:rPr>
          <w:noProof/>
        </w:rPr>
        <w:drawing>
          <wp:anchor distT="0" distB="0" distL="114300" distR="114300" simplePos="0" relativeHeight="251657728" behindDoc="1" locked="0" layoutInCell="1" allowOverlap="1">
            <wp:simplePos x="0" y="0"/>
            <wp:positionH relativeFrom="column">
              <wp:posOffset>1721485</wp:posOffset>
            </wp:positionH>
            <wp:positionV relativeFrom="paragraph">
              <wp:posOffset>62230</wp:posOffset>
            </wp:positionV>
            <wp:extent cx="2400300" cy="969645"/>
            <wp:effectExtent l="0" t="0" r="0" b="1905"/>
            <wp:wrapTight wrapText="bothSides">
              <wp:wrapPolygon edited="0">
                <wp:start x="0" y="0"/>
                <wp:lineTo x="0" y="21218"/>
                <wp:lineTo x="21429" y="21218"/>
                <wp:lineTo x="21429" y="0"/>
                <wp:lineTo x="0" y="0"/>
              </wp:wrapPolygon>
            </wp:wrapTight>
            <wp:docPr id="3" name="Picture 156" descr="LLP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LP logo engli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969645"/>
                    </a:xfrm>
                    <a:prstGeom prst="rect">
                      <a:avLst/>
                    </a:prstGeom>
                    <a:noFill/>
                  </pic:spPr>
                </pic:pic>
              </a:graphicData>
            </a:graphic>
            <wp14:sizeRelH relativeFrom="page">
              <wp14:pctWidth>0</wp14:pctWidth>
            </wp14:sizeRelH>
            <wp14:sizeRelV relativeFrom="page">
              <wp14:pctHeight>0</wp14:pctHeight>
            </wp14:sizeRelV>
          </wp:anchor>
        </w:drawing>
      </w:r>
    </w:p>
    <w:p w:rsidR="0034169D" w:rsidRDefault="0034169D" w:rsidP="004D67C9">
      <w:pPr>
        <w:rPr>
          <w:lang w:val="en-US"/>
        </w:rPr>
      </w:pPr>
    </w:p>
    <w:p w:rsidR="0034169D" w:rsidRDefault="0034169D" w:rsidP="004D67C9">
      <w:pPr>
        <w:rPr>
          <w:lang w:val="en-US"/>
        </w:rPr>
      </w:pPr>
    </w:p>
    <w:p w:rsidR="0034169D" w:rsidRPr="00F11535" w:rsidRDefault="0034169D" w:rsidP="004D67C9">
      <w:pPr>
        <w:pStyle w:val="MainTitle"/>
        <w:rPr>
          <w:rFonts w:ascii="Calibri" w:hAnsi="Calibri" w:cs="Calibri"/>
          <w:b w:val="0"/>
          <w:color w:val="D9D9D9"/>
          <w:sz w:val="36"/>
          <w:lang w:val="en-US"/>
        </w:rPr>
      </w:pPr>
      <w:r>
        <w:rPr>
          <w:rFonts w:ascii="Calibri" w:hAnsi="Calibri" w:cs="Calibri"/>
          <w:b w:val="0"/>
          <w:color w:val="D9D9D9"/>
          <w:sz w:val="36"/>
          <w:lang w:val="en-US"/>
        </w:rPr>
        <w:br w:type="page"/>
      </w:r>
      <w:r w:rsidRPr="00F11535">
        <w:rPr>
          <w:rFonts w:ascii="Calibri" w:hAnsi="Calibri" w:cs="Calibri"/>
          <w:b w:val="0"/>
          <w:color w:val="D9D9D9"/>
          <w:sz w:val="36"/>
          <w:lang w:val="en-US"/>
        </w:rPr>
        <w:lastRenderedPageBreak/>
        <w:t>[</w:t>
      </w:r>
      <w:r>
        <w:rPr>
          <w:rFonts w:ascii="Calibri" w:hAnsi="Calibri" w:cs="Calibri"/>
          <w:b w:val="0"/>
          <w:color w:val="D9D9D9"/>
          <w:sz w:val="36"/>
          <w:lang w:val="en-US"/>
        </w:rPr>
        <w:t xml:space="preserve">page </w:t>
      </w:r>
      <w:r w:rsidRPr="00F11535">
        <w:rPr>
          <w:rFonts w:ascii="Calibri" w:hAnsi="Calibri" w:cs="Calibri"/>
          <w:b w:val="0"/>
          <w:color w:val="D9D9D9"/>
          <w:sz w:val="36"/>
          <w:lang w:val="en-US"/>
        </w:rPr>
        <w:t>left blank on purpose]</w:t>
      </w:r>
    </w:p>
    <w:p w:rsidR="0034169D" w:rsidRDefault="0034169D" w:rsidP="004D67C9">
      <w:pPr>
        <w:spacing w:before="0" w:after="0" w:line="240" w:lineRule="auto"/>
        <w:rPr>
          <w:rFonts w:ascii="Verdana" w:hAnsi="Verdana"/>
          <w:color w:val="000000"/>
          <w:sz w:val="52"/>
          <w:lang w:val="en-US"/>
        </w:rPr>
      </w:pPr>
    </w:p>
    <w:p w:rsidR="0034169D" w:rsidRDefault="0034169D" w:rsidP="004D67C9">
      <w:pPr>
        <w:spacing w:before="0" w:after="0" w:line="240" w:lineRule="auto"/>
        <w:rPr>
          <w:b/>
          <w:lang w:val="en-US"/>
        </w:rPr>
      </w:pPr>
      <w:r>
        <w:rPr>
          <w:rFonts w:ascii="Verdana" w:hAnsi="Verdana"/>
          <w:color w:val="000000"/>
          <w:sz w:val="52"/>
          <w:lang w:val="en-US"/>
        </w:rPr>
        <w:br w:type="page"/>
      </w:r>
    </w:p>
    <w:p w:rsidR="0034169D" w:rsidRPr="006E686D" w:rsidRDefault="00AD548C" w:rsidP="004D67C9">
      <w:r w:rsidRPr="00AD548C">
        <w:rPr>
          <w:b/>
          <w:lang w:val="en-US"/>
        </w:rPr>
        <w:lastRenderedPageBreak/>
        <w:t>TABLA DE CONTENIDO</w:t>
      </w:r>
      <w:r>
        <w:rPr>
          <w:b/>
          <w:lang w:val="en-US"/>
        </w:rPr>
        <w:br/>
      </w:r>
    </w:p>
    <w:p w:rsidR="002310CF" w:rsidRDefault="0034169D">
      <w:pPr>
        <w:pStyle w:val="TOC1"/>
        <w:tabs>
          <w:tab w:val="right" w:leader="dot" w:pos="9628"/>
        </w:tabs>
        <w:rPr>
          <w:rFonts w:asciiTheme="minorHAnsi" w:eastAsiaTheme="minorEastAsia" w:hAnsiTheme="minorHAnsi" w:cstheme="minorBidi"/>
          <w:b w:val="0"/>
          <w:bCs w:val="0"/>
          <w:noProof/>
          <w:color w:val="auto"/>
          <w:szCs w:val="22"/>
          <w:lang w:val="en-GB" w:eastAsia="en-GB"/>
        </w:rPr>
      </w:pPr>
      <w:r w:rsidRPr="006E686D">
        <w:rPr>
          <w:rFonts w:ascii="Verdana" w:hAnsi="Verdana"/>
          <w:color w:val="auto"/>
          <w:lang w:val="en-US"/>
        </w:rPr>
        <w:fldChar w:fldCharType="begin"/>
      </w:r>
      <w:r w:rsidRPr="006E686D">
        <w:rPr>
          <w:rFonts w:ascii="Verdana" w:hAnsi="Verdana"/>
          <w:color w:val="auto"/>
          <w:lang w:val="en-US"/>
        </w:rPr>
        <w:instrText xml:space="preserve"> TOC \o "1-3" \h \z \u </w:instrText>
      </w:r>
      <w:r w:rsidRPr="006E686D">
        <w:rPr>
          <w:rFonts w:ascii="Verdana" w:hAnsi="Verdana"/>
          <w:color w:val="auto"/>
          <w:lang w:val="en-US"/>
        </w:rPr>
        <w:fldChar w:fldCharType="separate"/>
      </w:r>
      <w:hyperlink w:anchor="_Toc357600351" w:history="1">
        <w:r w:rsidR="002310CF" w:rsidRPr="00456370">
          <w:rPr>
            <w:rStyle w:val="Hyperlink"/>
            <w:noProof/>
            <w:lang w:val="en-GB"/>
          </w:rPr>
          <w:t>1. Introducción</w:t>
        </w:r>
        <w:r w:rsidR="002310CF">
          <w:rPr>
            <w:noProof/>
            <w:webHidden/>
          </w:rPr>
          <w:tab/>
        </w:r>
        <w:r w:rsidR="002310CF">
          <w:rPr>
            <w:noProof/>
            <w:webHidden/>
          </w:rPr>
          <w:fldChar w:fldCharType="begin"/>
        </w:r>
        <w:r w:rsidR="002310CF">
          <w:rPr>
            <w:noProof/>
            <w:webHidden/>
          </w:rPr>
          <w:instrText xml:space="preserve"> PAGEREF _Toc357600351 \h </w:instrText>
        </w:r>
        <w:r w:rsidR="002310CF">
          <w:rPr>
            <w:noProof/>
            <w:webHidden/>
          </w:rPr>
        </w:r>
        <w:r w:rsidR="002310CF">
          <w:rPr>
            <w:noProof/>
            <w:webHidden/>
          </w:rPr>
          <w:fldChar w:fldCharType="separate"/>
        </w:r>
        <w:r w:rsidR="007679CF">
          <w:rPr>
            <w:noProof/>
            <w:webHidden/>
          </w:rPr>
          <w:t>6</w:t>
        </w:r>
        <w:r w:rsidR="002310CF">
          <w:rPr>
            <w:noProof/>
            <w:webHidden/>
          </w:rPr>
          <w:fldChar w:fldCharType="end"/>
        </w:r>
      </w:hyperlink>
    </w:p>
    <w:p w:rsidR="002310CF" w:rsidRDefault="00026F56">
      <w:pPr>
        <w:pStyle w:val="TOC1"/>
        <w:tabs>
          <w:tab w:val="right" w:leader="dot" w:pos="9628"/>
        </w:tabs>
        <w:rPr>
          <w:rFonts w:asciiTheme="minorHAnsi" w:eastAsiaTheme="minorEastAsia" w:hAnsiTheme="minorHAnsi" w:cstheme="minorBidi"/>
          <w:b w:val="0"/>
          <w:bCs w:val="0"/>
          <w:noProof/>
          <w:color w:val="auto"/>
          <w:szCs w:val="22"/>
          <w:lang w:val="en-GB" w:eastAsia="en-GB"/>
        </w:rPr>
      </w:pPr>
      <w:hyperlink w:anchor="_Toc357600352" w:history="1">
        <w:r w:rsidR="002310CF" w:rsidRPr="00456370">
          <w:rPr>
            <w:rStyle w:val="Hyperlink"/>
            <w:noProof/>
            <w:lang w:val="en-US"/>
          </w:rPr>
          <w:t>3. Rápida visión general de los procedimientos internacionales de derechos humanos</w:t>
        </w:r>
        <w:r w:rsidR="002310CF">
          <w:rPr>
            <w:noProof/>
            <w:webHidden/>
          </w:rPr>
          <w:tab/>
        </w:r>
        <w:r w:rsidR="002310CF">
          <w:rPr>
            <w:noProof/>
            <w:webHidden/>
          </w:rPr>
          <w:fldChar w:fldCharType="begin"/>
        </w:r>
        <w:r w:rsidR="002310CF">
          <w:rPr>
            <w:noProof/>
            <w:webHidden/>
          </w:rPr>
          <w:instrText xml:space="preserve"> PAGEREF _Toc357600352 \h </w:instrText>
        </w:r>
        <w:r w:rsidR="002310CF">
          <w:rPr>
            <w:noProof/>
            <w:webHidden/>
          </w:rPr>
        </w:r>
        <w:r w:rsidR="002310CF">
          <w:rPr>
            <w:noProof/>
            <w:webHidden/>
          </w:rPr>
          <w:fldChar w:fldCharType="separate"/>
        </w:r>
        <w:r w:rsidR="007679CF">
          <w:rPr>
            <w:noProof/>
            <w:webHidden/>
          </w:rPr>
          <w:t>7</w:t>
        </w:r>
        <w:r w:rsidR="002310CF">
          <w:rPr>
            <w:noProof/>
            <w:webHidden/>
          </w:rPr>
          <w:fldChar w:fldCharType="end"/>
        </w:r>
      </w:hyperlink>
    </w:p>
    <w:p w:rsidR="002310CF" w:rsidRDefault="00026F56">
      <w:pPr>
        <w:pStyle w:val="TOC2"/>
        <w:tabs>
          <w:tab w:val="right" w:leader="dot" w:pos="9628"/>
        </w:tabs>
        <w:rPr>
          <w:rFonts w:asciiTheme="minorHAnsi" w:eastAsiaTheme="minorEastAsia" w:hAnsiTheme="minorHAnsi" w:cstheme="minorBidi"/>
          <w:noProof/>
          <w:szCs w:val="22"/>
          <w:lang w:val="en-GB" w:eastAsia="en-GB"/>
        </w:rPr>
      </w:pPr>
      <w:hyperlink w:anchor="_Toc357600353" w:history="1">
        <w:r w:rsidR="002310CF" w:rsidRPr="00456370">
          <w:rPr>
            <w:rStyle w:val="Hyperlink"/>
            <w:noProof/>
            <w:lang w:val="en-US"/>
          </w:rPr>
          <w:t>3.1 Procedimientos para reportar</w:t>
        </w:r>
        <w:r w:rsidR="002310CF">
          <w:rPr>
            <w:noProof/>
            <w:webHidden/>
          </w:rPr>
          <w:tab/>
        </w:r>
        <w:r w:rsidR="002310CF">
          <w:rPr>
            <w:noProof/>
            <w:webHidden/>
          </w:rPr>
          <w:fldChar w:fldCharType="begin"/>
        </w:r>
        <w:r w:rsidR="002310CF">
          <w:rPr>
            <w:noProof/>
            <w:webHidden/>
          </w:rPr>
          <w:instrText xml:space="preserve"> PAGEREF _Toc357600353 \h </w:instrText>
        </w:r>
        <w:r w:rsidR="002310CF">
          <w:rPr>
            <w:noProof/>
            <w:webHidden/>
          </w:rPr>
        </w:r>
        <w:r w:rsidR="002310CF">
          <w:rPr>
            <w:noProof/>
            <w:webHidden/>
          </w:rPr>
          <w:fldChar w:fldCharType="separate"/>
        </w:r>
        <w:r w:rsidR="007679CF">
          <w:rPr>
            <w:noProof/>
            <w:webHidden/>
          </w:rPr>
          <w:t>7</w:t>
        </w:r>
        <w:r w:rsidR="002310CF">
          <w:rPr>
            <w:noProof/>
            <w:webHidden/>
          </w:rPr>
          <w:fldChar w:fldCharType="end"/>
        </w:r>
      </w:hyperlink>
    </w:p>
    <w:p w:rsidR="002310CF" w:rsidRDefault="00026F56">
      <w:pPr>
        <w:pStyle w:val="TOC2"/>
        <w:tabs>
          <w:tab w:val="right" w:leader="dot" w:pos="9628"/>
        </w:tabs>
        <w:rPr>
          <w:rFonts w:asciiTheme="minorHAnsi" w:eastAsiaTheme="minorEastAsia" w:hAnsiTheme="minorHAnsi" w:cstheme="minorBidi"/>
          <w:noProof/>
          <w:szCs w:val="22"/>
          <w:lang w:val="en-GB" w:eastAsia="en-GB"/>
        </w:rPr>
      </w:pPr>
      <w:hyperlink w:anchor="_Toc357600354" w:history="1">
        <w:r w:rsidR="002310CF" w:rsidRPr="00456370">
          <w:rPr>
            <w:rStyle w:val="Hyperlink"/>
            <w:noProof/>
            <w:lang w:val="en-US"/>
          </w:rPr>
          <w:t>3.2 Procedimientos de Quejas</w:t>
        </w:r>
        <w:r w:rsidR="002310CF">
          <w:rPr>
            <w:noProof/>
            <w:webHidden/>
          </w:rPr>
          <w:tab/>
        </w:r>
        <w:r w:rsidR="002310CF">
          <w:rPr>
            <w:noProof/>
            <w:webHidden/>
          </w:rPr>
          <w:fldChar w:fldCharType="begin"/>
        </w:r>
        <w:r w:rsidR="002310CF">
          <w:rPr>
            <w:noProof/>
            <w:webHidden/>
          </w:rPr>
          <w:instrText xml:space="preserve"> PAGEREF _Toc357600354 \h </w:instrText>
        </w:r>
        <w:r w:rsidR="002310CF">
          <w:rPr>
            <w:noProof/>
            <w:webHidden/>
          </w:rPr>
        </w:r>
        <w:r w:rsidR="002310CF">
          <w:rPr>
            <w:noProof/>
            <w:webHidden/>
          </w:rPr>
          <w:fldChar w:fldCharType="separate"/>
        </w:r>
        <w:r w:rsidR="007679CF">
          <w:rPr>
            <w:noProof/>
            <w:webHidden/>
          </w:rPr>
          <w:t>8</w:t>
        </w:r>
        <w:r w:rsidR="002310CF">
          <w:rPr>
            <w:noProof/>
            <w:webHidden/>
          </w:rPr>
          <w:fldChar w:fldCharType="end"/>
        </w:r>
      </w:hyperlink>
    </w:p>
    <w:p w:rsidR="002310CF" w:rsidRDefault="00026F56">
      <w:pPr>
        <w:pStyle w:val="TOC2"/>
        <w:tabs>
          <w:tab w:val="right" w:leader="dot" w:pos="9628"/>
        </w:tabs>
        <w:rPr>
          <w:rFonts w:asciiTheme="minorHAnsi" w:eastAsiaTheme="minorEastAsia" w:hAnsiTheme="minorHAnsi" w:cstheme="minorBidi"/>
          <w:noProof/>
          <w:szCs w:val="22"/>
          <w:lang w:val="en-GB" w:eastAsia="en-GB"/>
        </w:rPr>
      </w:pPr>
      <w:hyperlink w:anchor="_Toc357600355" w:history="1">
        <w:r w:rsidR="002310CF" w:rsidRPr="00456370">
          <w:rPr>
            <w:rStyle w:val="Hyperlink"/>
            <w:noProof/>
            <w:lang w:val="en-US"/>
          </w:rPr>
          <w:t>3.3 procedimientos de investigación</w:t>
        </w:r>
        <w:r w:rsidR="002310CF">
          <w:rPr>
            <w:noProof/>
            <w:webHidden/>
          </w:rPr>
          <w:tab/>
        </w:r>
        <w:r w:rsidR="002310CF">
          <w:rPr>
            <w:noProof/>
            <w:webHidden/>
          </w:rPr>
          <w:fldChar w:fldCharType="begin"/>
        </w:r>
        <w:r w:rsidR="002310CF">
          <w:rPr>
            <w:noProof/>
            <w:webHidden/>
          </w:rPr>
          <w:instrText xml:space="preserve"> PAGEREF _Toc357600355 \h </w:instrText>
        </w:r>
        <w:r w:rsidR="002310CF">
          <w:rPr>
            <w:noProof/>
            <w:webHidden/>
          </w:rPr>
        </w:r>
        <w:r w:rsidR="002310CF">
          <w:rPr>
            <w:noProof/>
            <w:webHidden/>
          </w:rPr>
          <w:fldChar w:fldCharType="separate"/>
        </w:r>
        <w:r w:rsidR="007679CF">
          <w:rPr>
            <w:noProof/>
            <w:webHidden/>
          </w:rPr>
          <w:t>10</w:t>
        </w:r>
        <w:r w:rsidR="002310CF">
          <w:rPr>
            <w:noProof/>
            <w:webHidden/>
          </w:rPr>
          <w:fldChar w:fldCharType="end"/>
        </w:r>
      </w:hyperlink>
    </w:p>
    <w:p w:rsidR="0034169D" w:rsidRDefault="0034169D" w:rsidP="004D67C9">
      <w:pPr>
        <w:rPr>
          <w:lang w:val="en-US"/>
        </w:rPr>
      </w:pPr>
      <w:r w:rsidRPr="006E686D">
        <w:rPr>
          <w:rFonts w:ascii="Verdana" w:hAnsi="Verdana"/>
          <w:lang w:val="en-US"/>
        </w:rPr>
        <w:fldChar w:fldCharType="end"/>
      </w:r>
      <w:r w:rsidRPr="00CB3F05">
        <w:rPr>
          <w:lang w:val="en-US"/>
        </w:rPr>
        <w:br w:type="page"/>
      </w:r>
    </w:p>
    <w:tbl>
      <w:tblPr>
        <w:tblW w:w="9889" w:type="dxa"/>
        <w:tblBorders>
          <w:insideV w:val="single" w:sz="4" w:space="0" w:color="auto"/>
        </w:tblBorders>
        <w:tblLayout w:type="fixed"/>
        <w:tblLook w:val="00A0" w:firstRow="1" w:lastRow="0" w:firstColumn="1" w:lastColumn="0" w:noHBand="0" w:noVBand="0"/>
      </w:tblPr>
      <w:tblGrid>
        <w:gridCol w:w="7337"/>
        <w:gridCol w:w="2552"/>
      </w:tblGrid>
      <w:tr w:rsidR="0034169D" w:rsidRPr="007679CF" w:rsidTr="006B4B67">
        <w:tc>
          <w:tcPr>
            <w:tcW w:w="7337" w:type="dxa"/>
          </w:tcPr>
          <w:p w:rsidR="0034169D" w:rsidRPr="0081422E" w:rsidRDefault="0034169D" w:rsidP="00190B32">
            <w:pPr>
              <w:pStyle w:val="Heading1"/>
              <w:rPr>
                <w:lang w:val="en-GB"/>
              </w:rPr>
            </w:pPr>
            <w:bookmarkStart w:id="1" w:name="_Toc357600351"/>
            <w:bookmarkStart w:id="2" w:name="_Toc316847625"/>
            <w:bookmarkStart w:id="3" w:name="_Toc317514568"/>
            <w:bookmarkStart w:id="4" w:name="_Toc317516108"/>
            <w:r w:rsidRPr="0081422E">
              <w:rPr>
                <w:lang w:val="en-GB"/>
              </w:rPr>
              <w:lastRenderedPageBreak/>
              <w:t xml:space="preserve">1. </w:t>
            </w:r>
            <w:r w:rsidR="00AD548C">
              <w:rPr>
                <w:lang w:val="en-GB"/>
              </w:rPr>
              <w:t>I</w:t>
            </w:r>
            <w:r w:rsidR="00AD548C" w:rsidRPr="00AD548C">
              <w:rPr>
                <w:lang w:val="en-GB"/>
              </w:rPr>
              <w:t>ntroducción</w:t>
            </w:r>
            <w:bookmarkEnd w:id="1"/>
          </w:p>
          <w:p w:rsidR="00AD548C" w:rsidRPr="002310CF" w:rsidRDefault="00AD548C" w:rsidP="002310CF">
            <w:pPr>
              <w:rPr>
                <w:lang w:val="en-GB" w:eastAsia="en-US"/>
              </w:rPr>
            </w:pPr>
            <w:r w:rsidRPr="00AD548C">
              <w:rPr>
                <w:lang w:val="en-GB" w:eastAsia="en-US"/>
              </w:rPr>
              <w:t xml:space="preserve">No hay duda de que los diferentes derechos humanos, los Estados adoptan disposiciones no tienen sentido sin un buen sistema de control y seguimiento. Desde el final de la Segunda Guerra Mundial una serie de mecanismos se establecieron para proporcionar un sistema de control y tomar medidas en caso de violaciónes de los derechos humanos. Estas instituciones y procedimientos funcionan en el marco de las Naciones Unidas y las organizaciones regionales de derechos humanos, como el Consejo de Europa, </w:t>
            </w:r>
            <w:r w:rsidRPr="002310CF">
              <w:rPr>
                <w:lang w:val="en-GB" w:eastAsia="en-US"/>
              </w:rPr>
              <w:t>la Organización de Estados Americanos, la Unión Africana, etc</w:t>
            </w:r>
          </w:p>
          <w:p w:rsidR="0034169D" w:rsidRPr="0081422E" w:rsidRDefault="00AD548C" w:rsidP="002310CF">
            <w:pPr>
              <w:rPr>
                <w:lang w:val="en-GB"/>
              </w:rPr>
            </w:pPr>
            <w:r w:rsidRPr="002310CF">
              <w:rPr>
                <w:bCs/>
                <w:lang w:val="en-GB" w:eastAsia="en-US"/>
              </w:rPr>
              <w:t>Este breve capítulo esboza algunos avances en el seguimiento internacional de los derechos humanos y proporciona un panorama general de los procedimientos internacionales para este seguimiento. Es en este doble contexto, el sistema de vigilancia de la tortura y los malos tratos puede ser mejor entendida.</w:t>
            </w:r>
            <w:r w:rsidRPr="002310CF">
              <w:rPr>
                <w:lang w:val="en-GB"/>
              </w:rPr>
              <w:br/>
            </w:r>
            <w:r w:rsidRPr="002310CF">
              <w:rPr>
                <w:lang w:val="en-GB"/>
              </w:rPr>
              <w:br/>
            </w:r>
            <w:r w:rsidR="0034169D" w:rsidRPr="002310CF">
              <w:rPr>
                <w:rStyle w:val="Heading1Char"/>
              </w:rPr>
              <w:t xml:space="preserve">2. </w:t>
            </w:r>
            <w:bookmarkEnd w:id="2"/>
            <w:r w:rsidRPr="002310CF">
              <w:rPr>
                <w:rStyle w:val="Heading1Char"/>
              </w:rPr>
              <w:t>La protección de los derechos humanos a través de la supervisión internacional</w:t>
            </w:r>
            <w:bookmarkEnd w:id="3"/>
            <w:bookmarkEnd w:id="4"/>
          </w:p>
        </w:tc>
        <w:tc>
          <w:tcPr>
            <w:tcW w:w="2552" w:type="dxa"/>
          </w:tcPr>
          <w:p w:rsidR="0034169D" w:rsidRPr="004D67C9" w:rsidRDefault="0034169D" w:rsidP="00F1047C">
            <w:pPr>
              <w:pStyle w:val="ListParagraph"/>
              <w:spacing w:after="0" w:line="240" w:lineRule="auto"/>
              <w:ind w:left="313"/>
              <w:rPr>
                <w:rFonts w:cs="Calibri"/>
                <w:b/>
                <w:bCs/>
                <w:i/>
                <w:sz w:val="20"/>
                <w:szCs w:val="20"/>
                <w:lang w:val="en-US"/>
              </w:rPr>
            </w:pPr>
          </w:p>
        </w:tc>
      </w:tr>
      <w:tr w:rsidR="00AD548C" w:rsidRPr="007679CF" w:rsidTr="006B4B67">
        <w:tc>
          <w:tcPr>
            <w:tcW w:w="7337" w:type="dxa"/>
          </w:tcPr>
          <w:p w:rsidR="00AD548C" w:rsidRPr="007679CF" w:rsidRDefault="00AD548C" w:rsidP="00322969">
            <w:pPr>
              <w:rPr>
                <w:lang w:val="en-US"/>
              </w:rPr>
            </w:pPr>
            <w:r w:rsidRPr="007679CF">
              <w:rPr>
                <w:lang w:val="en-US"/>
              </w:rPr>
              <w:t>En el curso de los últimos 65 años, se han establecido una impresionante serie de mecanismos internacionales para vigilar las obligaciones de los Estados en materia de derechos humanos. Esto es sobre todo el caso en el contexto de las Naciones Unidas, sino que también se aplica a las organizaciones regionales de protección de derechos humanos, como el Consejo de Europa, la Organización de Estados Americanos, la Unión Africana, etc Sin embargo, este desarrollo fue lejos de ser automática y fácil, y muestra las características de la forma errática con que se ha llevado a cabo.</w:t>
            </w:r>
          </w:p>
        </w:tc>
        <w:tc>
          <w:tcPr>
            <w:tcW w:w="2552" w:type="dxa"/>
          </w:tcPr>
          <w:p w:rsidR="00AD548C" w:rsidRPr="004D67C9" w:rsidRDefault="00AD548C" w:rsidP="006B4B67">
            <w:pPr>
              <w:pStyle w:val="ListParagraph"/>
              <w:spacing w:after="0" w:line="240" w:lineRule="auto"/>
              <w:ind w:left="318"/>
              <w:rPr>
                <w:rFonts w:cs="Calibri"/>
                <w:b/>
                <w:i/>
                <w:sz w:val="20"/>
                <w:szCs w:val="20"/>
                <w:lang w:val="en-US"/>
              </w:rPr>
            </w:pPr>
          </w:p>
          <w:p w:rsidR="00AD548C" w:rsidRPr="004D67C9" w:rsidRDefault="00AD548C" w:rsidP="006B4B67">
            <w:pPr>
              <w:pStyle w:val="ListParagraph"/>
              <w:spacing w:after="0" w:line="240" w:lineRule="auto"/>
              <w:ind w:left="318"/>
              <w:rPr>
                <w:rFonts w:cs="Calibri"/>
                <w:b/>
                <w:i/>
                <w:sz w:val="20"/>
                <w:szCs w:val="20"/>
                <w:lang w:val="en-US"/>
              </w:rPr>
            </w:pPr>
          </w:p>
        </w:tc>
      </w:tr>
      <w:tr w:rsidR="00AD548C" w:rsidRPr="007679CF" w:rsidTr="006B4B67">
        <w:tc>
          <w:tcPr>
            <w:tcW w:w="7337" w:type="dxa"/>
          </w:tcPr>
          <w:p w:rsidR="00AD548C" w:rsidRPr="007679CF" w:rsidRDefault="00AD548C" w:rsidP="00322969">
            <w:pPr>
              <w:rPr>
                <w:lang w:val="en-US"/>
              </w:rPr>
            </w:pPr>
            <w:r w:rsidRPr="007679CF">
              <w:rPr>
                <w:lang w:val="en-US"/>
              </w:rPr>
              <w:t xml:space="preserve">Antonio Cançado Trindade, ex Presidente de la Corte Interamericana de Derechos Humanos y actual juez de la Corte Internacional de Justicia de La Haya, ya en 1987 sostenía que la evolución de la fiscalización internacional se relacionó con algunos desarrollos teóricos importantes en el derecho internacional . Por ejemplo, la doctrina tradicional de la jurisdicción nacional de </w:t>
            </w:r>
            <w:r w:rsidRPr="007679CF">
              <w:rPr>
                <w:lang w:val="en-US"/>
              </w:rPr>
              <w:lastRenderedPageBreak/>
              <w:t>los Estados en los años 1950-1960 tuvo que ser delimitada, para asumir el control externo por varias comisiones y comités y varios factores han contribuido a la erosión de esta doctrina. En primer lugar, a nivel teórico resultó importante que los Estados etiquetados los mecanismos internacionales como subsidiaria a los mecanismos nacionales, lo que, por supuesto, implicaba que la primacía de la supervisión se mantuvo en el nivel nacional. En segundo lugar, las diversas técnicas judiciales fueron desarrollados para proporcionar una cierta flexibilidad a los Estados antes de que tuvieran que someterse a un control internacional, por ejemplo, procedimientos de denuncia opcionales, cláusulas derogatorias, etc La disminución de la importancia de esta doctrina del Estado fueron de la mano con dos desarrollos similares en el derecho internacional, a saber, una posibilidad cada vez mayor de personas a participar en los procedimientos de supervisión internacional y la creciente asertividad de las instituciones internacionales para emprender acciones a sí mismos en el campo de los derechos humanos.</w:t>
            </w:r>
          </w:p>
        </w:tc>
        <w:tc>
          <w:tcPr>
            <w:tcW w:w="2552" w:type="dxa"/>
          </w:tcPr>
          <w:p w:rsidR="00AD548C" w:rsidRPr="004D67C9" w:rsidRDefault="00AD548C" w:rsidP="006B4B67">
            <w:pPr>
              <w:pStyle w:val="ListParagraph"/>
              <w:spacing w:after="0" w:line="240" w:lineRule="auto"/>
              <w:ind w:left="313"/>
              <w:rPr>
                <w:rFonts w:cs="Calibri"/>
                <w:i/>
                <w:sz w:val="20"/>
                <w:szCs w:val="20"/>
                <w:lang w:val="en-US"/>
              </w:rPr>
            </w:pPr>
          </w:p>
        </w:tc>
      </w:tr>
      <w:tr w:rsidR="0034169D" w:rsidRPr="007679CF" w:rsidTr="006B4B67">
        <w:tc>
          <w:tcPr>
            <w:tcW w:w="7337" w:type="dxa"/>
          </w:tcPr>
          <w:p w:rsidR="0034169D" w:rsidRPr="0081422E" w:rsidRDefault="0034169D" w:rsidP="00F1047C">
            <w:pPr>
              <w:pStyle w:val="Heading1"/>
              <w:rPr>
                <w:lang w:val="en-GB"/>
              </w:rPr>
            </w:pPr>
            <w:bookmarkStart w:id="5" w:name="_Toc357600352"/>
            <w:r>
              <w:rPr>
                <w:lang w:val="en-US"/>
              </w:rPr>
              <w:lastRenderedPageBreak/>
              <w:t xml:space="preserve">3. </w:t>
            </w:r>
            <w:r w:rsidR="00AD548C" w:rsidRPr="00AD548C">
              <w:rPr>
                <w:lang w:val="en-US"/>
              </w:rPr>
              <w:t>Rápida visión general de los procedimientos internacionales de derechos humanos</w:t>
            </w:r>
            <w:bookmarkEnd w:id="5"/>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34169D" w:rsidRPr="007679CF" w:rsidTr="006B4B67">
        <w:tc>
          <w:tcPr>
            <w:tcW w:w="7337" w:type="dxa"/>
          </w:tcPr>
          <w:p w:rsidR="00AD548C" w:rsidRPr="00AD548C" w:rsidRDefault="00AD548C" w:rsidP="00AD548C">
            <w:pPr>
              <w:spacing w:line="276" w:lineRule="auto"/>
              <w:rPr>
                <w:szCs w:val="22"/>
                <w:lang w:val="en-GB" w:eastAsia="en-US"/>
              </w:rPr>
            </w:pPr>
            <w:r w:rsidRPr="00AD548C">
              <w:rPr>
                <w:szCs w:val="22"/>
                <w:lang w:val="en-GB" w:eastAsia="en-US"/>
              </w:rPr>
              <w:t>Cualquiera que busque en los organigramas de las Naciones Unidas o de las organizaciones regionales en el campo de los derechos humanos corre el riesgo de quedarse con una sensación de desconcierto, y posiblemente confusión. Estos gráficos se parecen un laberinto de instituciones y procedimientos en lugar de proporcionar un edificio transparente.</w:t>
            </w:r>
          </w:p>
          <w:p w:rsidR="0034169D" w:rsidRPr="004D1CE6" w:rsidRDefault="00AD548C" w:rsidP="00AD548C">
            <w:pPr>
              <w:spacing w:line="276" w:lineRule="auto"/>
              <w:rPr>
                <w:lang w:val="en-GB" w:eastAsia="en-US"/>
              </w:rPr>
            </w:pPr>
            <w:r w:rsidRPr="00AD548C">
              <w:rPr>
                <w:szCs w:val="22"/>
                <w:lang w:val="en-GB" w:eastAsia="en-US"/>
              </w:rPr>
              <w:t>En los párrafos siguientes dan una visión general de los tres tipos más importantes de procedimientos internacionales de vigilancia de los derechos humanos. Debe proporcionar más orientación para cualquier persona interesada en la lucha internacional contra la tortura para situar las diversas partes del Protocolo de Estambul en este contexto.</w:t>
            </w:r>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34169D" w:rsidRPr="002A3956" w:rsidTr="006B4B67">
        <w:tc>
          <w:tcPr>
            <w:tcW w:w="7337" w:type="dxa"/>
          </w:tcPr>
          <w:p w:rsidR="0034169D" w:rsidRPr="00C702EA" w:rsidRDefault="0034169D" w:rsidP="00F1047C">
            <w:pPr>
              <w:pStyle w:val="Heading2"/>
              <w:rPr>
                <w:lang w:val="en-US"/>
              </w:rPr>
            </w:pPr>
            <w:bookmarkStart w:id="6" w:name="_Toc357600353"/>
            <w:r w:rsidRPr="00C702EA">
              <w:rPr>
                <w:lang w:val="en-US"/>
              </w:rPr>
              <w:t xml:space="preserve">3.1 </w:t>
            </w:r>
            <w:r w:rsidR="00AD548C" w:rsidRPr="00AD548C">
              <w:rPr>
                <w:lang w:val="en-US"/>
              </w:rPr>
              <w:t>Procedimientos para reportar</w:t>
            </w:r>
            <w:bookmarkEnd w:id="6"/>
          </w:p>
        </w:tc>
        <w:tc>
          <w:tcPr>
            <w:tcW w:w="2552" w:type="dxa"/>
          </w:tcPr>
          <w:p w:rsidR="0034169D" w:rsidRPr="004D67C9" w:rsidRDefault="0034169D" w:rsidP="00F1047C">
            <w:pPr>
              <w:pStyle w:val="ListParagraph"/>
              <w:spacing w:after="0" w:line="240" w:lineRule="auto"/>
              <w:ind w:left="313"/>
              <w:rPr>
                <w:rFonts w:cs="Calibri"/>
                <w:i/>
                <w:sz w:val="20"/>
                <w:szCs w:val="20"/>
                <w:lang w:val="en-US"/>
              </w:rPr>
            </w:pPr>
          </w:p>
        </w:tc>
      </w:tr>
      <w:tr w:rsidR="0034169D" w:rsidRPr="007679CF" w:rsidTr="006B4B67">
        <w:tc>
          <w:tcPr>
            <w:tcW w:w="7337" w:type="dxa"/>
          </w:tcPr>
          <w:p w:rsidR="0034169D" w:rsidRPr="007D1DD3" w:rsidRDefault="00AD548C" w:rsidP="006B4B67">
            <w:pPr>
              <w:pStyle w:val="BodyText"/>
              <w:rPr>
                <w:lang w:val="en-GB"/>
              </w:rPr>
            </w:pPr>
            <w:r w:rsidRPr="00AD548C">
              <w:rPr>
                <w:lang w:val="en-GB"/>
              </w:rPr>
              <w:t>La base legal de estos procedimientos de información se puede encontrar en una serie de importantes convenciones de derechos humanos del sistema de las Naciones Unidas, lo que pone de manifiesto que estos procedimientos abarcan una amplia gama de derechos civiles, políticos, económicos, sociales, culturales y colectivos, incluida la tortura y malos tratos:</w:t>
            </w:r>
          </w:p>
        </w:tc>
        <w:tc>
          <w:tcPr>
            <w:tcW w:w="2552" w:type="dxa"/>
          </w:tcPr>
          <w:p w:rsidR="0034169D" w:rsidRPr="004D67C9" w:rsidRDefault="0034169D" w:rsidP="006B4B67">
            <w:pPr>
              <w:pStyle w:val="ListParagraph"/>
              <w:spacing w:after="0" w:line="240" w:lineRule="auto"/>
              <w:ind w:left="313"/>
              <w:rPr>
                <w:rFonts w:cs="Calibri"/>
                <w:i/>
                <w:sz w:val="20"/>
                <w:szCs w:val="20"/>
                <w:lang w:val="en-GB"/>
              </w:rPr>
            </w:pPr>
          </w:p>
        </w:tc>
      </w:tr>
      <w:tr w:rsidR="0034169D" w:rsidRPr="002A3956" w:rsidTr="006B4B67">
        <w:tc>
          <w:tcPr>
            <w:tcW w:w="7337" w:type="dxa"/>
          </w:tcPr>
          <w:p w:rsidR="0034169D" w:rsidRDefault="0034169D" w:rsidP="007D1DD3">
            <w:pPr>
              <w:pStyle w:val="BodyText"/>
              <w:numPr>
                <w:ilvl w:val="0"/>
                <w:numId w:val="5"/>
              </w:numPr>
              <w:rPr>
                <w:lang w:val="en-GB"/>
              </w:rPr>
            </w:pPr>
            <w:r w:rsidRPr="007D1DD3">
              <w:rPr>
                <w:lang w:val="en-GB"/>
              </w:rPr>
              <w:t xml:space="preserve"> </w:t>
            </w:r>
            <w:hyperlink r:id="rId19" w:history="1">
              <w:r w:rsidRPr="00DB0E87">
                <w:rPr>
                  <w:rStyle w:val="Hyperlink"/>
                  <w:lang w:val="en-GB"/>
                </w:rPr>
                <w:t xml:space="preserve">International Convention on the Elimination of All Forms of Racial </w:t>
              </w:r>
              <w:r w:rsidRPr="00DB0E87">
                <w:rPr>
                  <w:rStyle w:val="Hyperlink"/>
                  <w:lang w:val="en-GB"/>
                </w:rPr>
                <w:lastRenderedPageBreak/>
                <w:t>Discrimination</w:t>
              </w:r>
            </w:hyperlink>
            <w:r w:rsidRPr="007D1DD3">
              <w:rPr>
                <w:lang w:val="en-GB"/>
              </w:rPr>
              <w:t>;</w:t>
            </w:r>
          </w:p>
          <w:p w:rsidR="0034169D" w:rsidRPr="007D1DD3" w:rsidRDefault="00026F56" w:rsidP="007D1DD3">
            <w:pPr>
              <w:pStyle w:val="BodyText"/>
              <w:numPr>
                <w:ilvl w:val="0"/>
                <w:numId w:val="5"/>
              </w:numPr>
              <w:rPr>
                <w:lang w:val="en-GB"/>
              </w:rPr>
            </w:pPr>
            <w:hyperlink r:id="rId20" w:history="1">
              <w:r w:rsidR="0034169D" w:rsidRPr="00DB0E87">
                <w:rPr>
                  <w:rStyle w:val="Hyperlink"/>
                  <w:lang w:val="en-GB"/>
                </w:rPr>
                <w:t>International Covenant on Civil and Political Rights</w:t>
              </w:r>
            </w:hyperlink>
            <w:r w:rsidR="0034169D" w:rsidRPr="007D1DD3">
              <w:rPr>
                <w:lang w:val="en-GB"/>
              </w:rPr>
              <w:t>;</w:t>
            </w:r>
          </w:p>
          <w:p w:rsidR="0034169D" w:rsidRPr="007D1DD3" w:rsidRDefault="00026F56" w:rsidP="007D1DD3">
            <w:pPr>
              <w:pStyle w:val="BodyText"/>
              <w:numPr>
                <w:ilvl w:val="0"/>
                <w:numId w:val="5"/>
              </w:numPr>
              <w:rPr>
                <w:lang w:val="en-GB"/>
              </w:rPr>
            </w:pPr>
            <w:hyperlink r:id="rId21" w:history="1">
              <w:r w:rsidR="0034169D" w:rsidRPr="00DB0E87">
                <w:rPr>
                  <w:rStyle w:val="Hyperlink"/>
                  <w:lang w:val="en-GB"/>
                </w:rPr>
                <w:t>International Covenant on Economic, Social and Cultural Rights</w:t>
              </w:r>
            </w:hyperlink>
            <w:r w:rsidR="0034169D" w:rsidRPr="007D1DD3">
              <w:rPr>
                <w:lang w:val="en-GB"/>
              </w:rPr>
              <w:t>;</w:t>
            </w:r>
          </w:p>
          <w:p w:rsidR="0034169D" w:rsidRPr="007D1DD3" w:rsidRDefault="00026F56" w:rsidP="007D1DD3">
            <w:pPr>
              <w:pStyle w:val="BodyText"/>
              <w:numPr>
                <w:ilvl w:val="0"/>
                <w:numId w:val="5"/>
              </w:numPr>
              <w:rPr>
                <w:lang w:val="en-GB"/>
              </w:rPr>
            </w:pPr>
            <w:hyperlink r:id="rId22" w:history="1">
              <w:r w:rsidR="0034169D" w:rsidRPr="0044770D">
                <w:rPr>
                  <w:rStyle w:val="Hyperlink"/>
                  <w:lang w:val="en-GB"/>
                </w:rPr>
                <w:t xml:space="preserve">Convention on the Elimination of all </w:t>
              </w:r>
              <w:r w:rsidR="0034169D">
                <w:rPr>
                  <w:rStyle w:val="Hyperlink"/>
                  <w:lang w:val="en-GB"/>
                </w:rPr>
                <w:t>F</w:t>
              </w:r>
              <w:r w:rsidR="0034169D" w:rsidRPr="0044770D">
                <w:rPr>
                  <w:rStyle w:val="Hyperlink"/>
                  <w:lang w:val="en-GB"/>
                </w:rPr>
                <w:t>orms of Discrimination against Women</w:t>
              </w:r>
            </w:hyperlink>
            <w:r w:rsidR="0034169D" w:rsidRPr="007D1DD3">
              <w:rPr>
                <w:lang w:val="en-GB"/>
              </w:rPr>
              <w:t>;</w:t>
            </w:r>
          </w:p>
          <w:p w:rsidR="0034169D" w:rsidRPr="007D1DD3" w:rsidRDefault="0034169D" w:rsidP="007D1DD3">
            <w:pPr>
              <w:pStyle w:val="BodyText"/>
              <w:numPr>
                <w:ilvl w:val="0"/>
                <w:numId w:val="5"/>
              </w:numPr>
              <w:rPr>
                <w:lang w:val="en-GB"/>
              </w:rPr>
            </w:pPr>
            <w:r w:rsidRPr="007D1DD3">
              <w:rPr>
                <w:lang w:val="en-GB"/>
              </w:rPr>
              <w:t xml:space="preserve">the </w:t>
            </w:r>
            <w:hyperlink r:id="rId23" w:history="1">
              <w:r w:rsidRPr="0044770D">
                <w:rPr>
                  <w:rStyle w:val="Hyperlink"/>
                  <w:lang w:val="en-GB"/>
                </w:rPr>
                <w:t>Convention against Torture</w:t>
              </w:r>
            </w:hyperlink>
            <w:r w:rsidRPr="00761F91">
              <w:rPr>
                <w:lang w:val="en-GB"/>
              </w:rPr>
              <w:t xml:space="preserve"> and Other Cruel, Inhuman or Degrading Treatment or Punishment</w:t>
            </w:r>
            <w:r w:rsidRPr="007D1DD3">
              <w:rPr>
                <w:lang w:val="en-GB"/>
              </w:rPr>
              <w:t>;</w:t>
            </w:r>
          </w:p>
          <w:p w:rsidR="0034169D" w:rsidRDefault="00026F56" w:rsidP="0044770D">
            <w:pPr>
              <w:pStyle w:val="BodyText"/>
              <w:numPr>
                <w:ilvl w:val="0"/>
                <w:numId w:val="5"/>
              </w:numPr>
              <w:rPr>
                <w:lang w:val="en-GB"/>
              </w:rPr>
            </w:pPr>
            <w:hyperlink r:id="rId24" w:history="1">
              <w:r w:rsidR="0034169D" w:rsidRPr="0044770D">
                <w:rPr>
                  <w:rStyle w:val="Hyperlink"/>
                  <w:lang w:val="en-GB"/>
                </w:rPr>
                <w:t>Convention on the Rights of the Child</w:t>
              </w:r>
            </w:hyperlink>
            <w:r w:rsidR="0034169D">
              <w:rPr>
                <w:lang w:val="en-GB"/>
              </w:rPr>
              <w:t>;</w:t>
            </w:r>
          </w:p>
          <w:p w:rsidR="0034169D" w:rsidRPr="006F3C63" w:rsidRDefault="0034169D" w:rsidP="0044770D">
            <w:pPr>
              <w:pStyle w:val="BodyText"/>
              <w:numPr>
                <w:ilvl w:val="0"/>
                <w:numId w:val="5"/>
              </w:numPr>
              <w:rPr>
                <w:rStyle w:val="Hyperlink"/>
                <w:color w:val="auto"/>
                <w:u w:val="none"/>
                <w:lang w:val="en-GB"/>
              </w:rPr>
            </w:pPr>
            <w:r w:rsidRPr="00E26DFE">
              <w:rPr>
                <w:rStyle w:val="Hyperlink"/>
                <w:lang w:val="en-GB"/>
              </w:rPr>
              <w:t>the International Convention on the Protection of the Rights of All Migrant Workers and Members of Their Families</w:t>
            </w:r>
            <w:r w:rsidRPr="00761F91">
              <w:rPr>
                <w:rStyle w:val="Hyperlink"/>
                <w:lang w:val="en-GB"/>
              </w:rPr>
              <w:t>; and</w:t>
            </w:r>
          </w:p>
          <w:p w:rsidR="0034169D" w:rsidRPr="007D1DD3" w:rsidRDefault="0034169D" w:rsidP="00FE5DDF">
            <w:pPr>
              <w:pStyle w:val="BodyText"/>
              <w:numPr>
                <w:ilvl w:val="0"/>
                <w:numId w:val="5"/>
              </w:numPr>
              <w:rPr>
                <w:lang w:val="en-GB"/>
              </w:rPr>
            </w:pPr>
            <w:r w:rsidRPr="00761F91">
              <w:rPr>
                <w:rStyle w:val="Hyperlink"/>
                <w:lang w:val="en-GB"/>
              </w:rPr>
              <w:t>the Convention on the Rights of Persons with Disabilities.</w:t>
            </w:r>
          </w:p>
        </w:tc>
        <w:tc>
          <w:tcPr>
            <w:tcW w:w="2552" w:type="dxa"/>
          </w:tcPr>
          <w:p w:rsidR="0034169D" w:rsidRPr="00DB0E87" w:rsidRDefault="0034169D" w:rsidP="00EE7B0B">
            <w:pPr>
              <w:pStyle w:val="ListParagraph"/>
              <w:numPr>
                <w:ilvl w:val="0"/>
                <w:numId w:val="7"/>
              </w:numPr>
              <w:spacing w:after="0" w:line="240" w:lineRule="auto"/>
              <w:ind w:left="318" w:hanging="284"/>
              <w:rPr>
                <w:rFonts w:cs="Calibri"/>
                <w:b/>
                <w:i/>
                <w:sz w:val="20"/>
                <w:szCs w:val="20"/>
                <w:lang w:val="en-US"/>
              </w:rPr>
            </w:pPr>
            <w:r>
              <w:rPr>
                <w:rFonts w:cs="Calibri"/>
                <w:i/>
                <w:sz w:val="20"/>
                <w:szCs w:val="20"/>
                <w:lang w:val="en-US"/>
              </w:rPr>
              <w:lastRenderedPageBreak/>
              <w:t>Art. 9 and Art. 15</w:t>
            </w:r>
          </w:p>
          <w:p w:rsidR="0034169D" w:rsidRPr="00DB0E87" w:rsidRDefault="0034169D" w:rsidP="00EE7B0B">
            <w:pPr>
              <w:pStyle w:val="ListParagraph"/>
              <w:spacing w:after="0" w:line="240" w:lineRule="auto"/>
              <w:ind w:left="318" w:hanging="284"/>
              <w:rPr>
                <w:rFonts w:cs="Calibri"/>
                <w:b/>
                <w:i/>
                <w:sz w:val="20"/>
                <w:szCs w:val="20"/>
                <w:lang w:val="en-US"/>
              </w:rPr>
            </w:pPr>
          </w:p>
          <w:p w:rsidR="0034169D" w:rsidRDefault="0034169D" w:rsidP="00EE7B0B">
            <w:pPr>
              <w:pStyle w:val="ListParagraph"/>
              <w:numPr>
                <w:ilvl w:val="0"/>
                <w:numId w:val="7"/>
              </w:numPr>
              <w:spacing w:after="0" w:line="240" w:lineRule="auto"/>
              <w:ind w:left="318" w:hanging="284"/>
              <w:rPr>
                <w:rFonts w:cs="Calibri"/>
                <w:i/>
                <w:sz w:val="20"/>
                <w:szCs w:val="20"/>
                <w:lang w:val="en-US"/>
              </w:rPr>
            </w:pPr>
            <w:r w:rsidRPr="00DB0E87">
              <w:rPr>
                <w:rFonts w:cs="Calibri"/>
                <w:i/>
                <w:sz w:val="20"/>
                <w:szCs w:val="20"/>
                <w:lang w:val="en-US"/>
              </w:rPr>
              <w:t>Art. 40</w:t>
            </w:r>
          </w:p>
          <w:p w:rsidR="0034169D" w:rsidRDefault="0034169D" w:rsidP="00EE7B0B">
            <w:pPr>
              <w:pStyle w:val="ListParagraph"/>
              <w:spacing w:after="0" w:line="240" w:lineRule="auto"/>
              <w:ind w:left="318" w:hanging="284"/>
              <w:rPr>
                <w:rFonts w:cs="Calibri"/>
                <w:i/>
                <w:sz w:val="20"/>
                <w:szCs w:val="20"/>
                <w:lang w:val="en-US"/>
              </w:rPr>
            </w:pPr>
          </w:p>
          <w:p w:rsidR="0034169D" w:rsidRDefault="0034169D"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Art. 16</w:t>
            </w:r>
          </w:p>
          <w:p w:rsidR="0034169D" w:rsidRDefault="0034169D" w:rsidP="00EE7B0B">
            <w:pPr>
              <w:pStyle w:val="ListParagraph"/>
              <w:spacing w:after="0" w:line="240" w:lineRule="auto"/>
              <w:ind w:left="318" w:hanging="284"/>
              <w:rPr>
                <w:rFonts w:cs="Calibri"/>
                <w:i/>
                <w:sz w:val="20"/>
                <w:szCs w:val="20"/>
                <w:lang w:val="en-US"/>
              </w:rPr>
            </w:pPr>
          </w:p>
          <w:p w:rsidR="0034169D" w:rsidRDefault="0034169D" w:rsidP="00EE7B0B">
            <w:pPr>
              <w:pStyle w:val="ListParagraph"/>
              <w:spacing w:after="0" w:line="240" w:lineRule="auto"/>
              <w:ind w:left="318" w:hanging="284"/>
              <w:rPr>
                <w:rFonts w:cs="Calibri"/>
                <w:i/>
                <w:sz w:val="20"/>
                <w:szCs w:val="20"/>
                <w:lang w:val="en-US"/>
              </w:rPr>
            </w:pPr>
          </w:p>
          <w:p w:rsidR="0034169D" w:rsidRDefault="0034169D"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Art. 18</w:t>
            </w:r>
            <w:r>
              <w:rPr>
                <w:rFonts w:cs="Calibri"/>
                <w:i/>
                <w:sz w:val="20"/>
                <w:szCs w:val="20"/>
                <w:lang w:val="en-US"/>
              </w:rPr>
              <w:br/>
            </w:r>
          </w:p>
          <w:p w:rsidR="0034169D" w:rsidRDefault="0034169D">
            <w:pPr>
              <w:pStyle w:val="ListParagraph"/>
              <w:spacing w:after="0" w:line="240" w:lineRule="auto"/>
              <w:ind w:left="318"/>
              <w:rPr>
                <w:rFonts w:cs="Calibri"/>
                <w:i/>
                <w:sz w:val="20"/>
                <w:szCs w:val="20"/>
                <w:lang w:val="en-US"/>
              </w:rPr>
            </w:pPr>
          </w:p>
          <w:p w:rsidR="0034169D" w:rsidRDefault="0034169D"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 Art. 19</w:t>
            </w:r>
          </w:p>
          <w:p w:rsidR="0034169D" w:rsidRDefault="0034169D">
            <w:pPr>
              <w:pStyle w:val="ListParagraph"/>
              <w:rPr>
                <w:rFonts w:cs="Calibri"/>
                <w:i/>
                <w:sz w:val="20"/>
                <w:szCs w:val="20"/>
                <w:lang w:val="en-US"/>
              </w:rPr>
            </w:pPr>
          </w:p>
          <w:p w:rsidR="0034169D" w:rsidRPr="0044770D" w:rsidRDefault="0034169D" w:rsidP="00EE7B0B">
            <w:pPr>
              <w:pStyle w:val="ListParagraph"/>
              <w:spacing w:after="0" w:line="240" w:lineRule="auto"/>
              <w:ind w:left="318" w:hanging="284"/>
              <w:rPr>
                <w:rFonts w:cs="Calibri"/>
                <w:i/>
                <w:sz w:val="8"/>
                <w:szCs w:val="8"/>
                <w:lang w:val="en-US"/>
              </w:rPr>
            </w:pPr>
          </w:p>
          <w:p w:rsidR="0034169D" w:rsidRPr="0044770D" w:rsidRDefault="0034169D"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 Art. 44</w:t>
            </w:r>
          </w:p>
        </w:tc>
      </w:tr>
      <w:tr w:rsidR="0034169D" w:rsidRPr="007679CF" w:rsidTr="006B4B67">
        <w:tc>
          <w:tcPr>
            <w:tcW w:w="7337" w:type="dxa"/>
          </w:tcPr>
          <w:p w:rsidR="00AD548C" w:rsidRPr="00AD548C" w:rsidRDefault="00AD548C" w:rsidP="00AD548C">
            <w:pPr>
              <w:pStyle w:val="BodyText"/>
              <w:rPr>
                <w:lang w:val="en-GB"/>
              </w:rPr>
            </w:pPr>
            <w:r w:rsidRPr="00AD548C">
              <w:rPr>
                <w:lang w:val="en-GB"/>
              </w:rPr>
              <w:lastRenderedPageBreak/>
              <w:t>Procedimiento</w:t>
            </w:r>
            <w:r w:rsidRPr="007679CF">
              <w:rPr>
                <w:lang w:val="en-US"/>
              </w:rPr>
              <w:t xml:space="preserve"> </w:t>
            </w:r>
            <w:r w:rsidRPr="00AD548C">
              <w:rPr>
                <w:lang w:val="en-GB"/>
              </w:rPr>
              <w:t>de</w:t>
            </w:r>
            <w:r w:rsidRPr="007679CF">
              <w:rPr>
                <w:lang w:val="en-US"/>
              </w:rPr>
              <w:t xml:space="preserve"> </w:t>
            </w:r>
            <w:r w:rsidRPr="00AD548C">
              <w:rPr>
                <w:lang w:val="en-GB"/>
              </w:rPr>
              <w:t>informaci</w:t>
            </w:r>
            <w:r w:rsidRPr="007679CF">
              <w:rPr>
                <w:lang w:val="en-US"/>
              </w:rPr>
              <w:t>ó</w:t>
            </w:r>
            <w:r w:rsidRPr="00AD548C">
              <w:rPr>
                <w:lang w:val="en-GB"/>
              </w:rPr>
              <w:t>n</w:t>
            </w:r>
            <w:r w:rsidRPr="007679CF">
              <w:rPr>
                <w:lang w:val="en-US"/>
              </w:rPr>
              <w:t xml:space="preserve"> </w:t>
            </w:r>
            <w:r w:rsidRPr="00AD548C">
              <w:rPr>
                <w:lang w:val="en-GB"/>
              </w:rPr>
              <w:t>a</w:t>
            </w:r>
            <w:r w:rsidRPr="007679CF">
              <w:rPr>
                <w:lang w:val="en-US"/>
              </w:rPr>
              <w:t xml:space="preserve"> </w:t>
            </w:r>
            <w:r w:rsidRPr="00AD548C">
              <w:rPr>
                <w:lang w:val="en-GB"/>
              </w:rPr>
              <w:t>las</w:t>
            </w:r>
            <w:r w:rsidRPr="007679CF">
              <w:rPr>
                <w:lang w:val="en-US"/>
              </w:rPr>
              <w:t xml:space="preserve"> </w:t>
            </w:r>
            <w:r w:rsidRPr="00AD548C">
              <w:rPr>
                <w:lang w:val="en-GB"/>
              </w:rPr>
              <w:t>partes</w:t>
            </w:r>
            <w:r w:rsidRPr="007679CF">
              <w:rPr>
                <w:lang w:val="en-US"/>
              </w:rPr>
              <w:t xml:space="preserve"> </w:t>
            </w:r>
            <w:r w:rsidRPr="00AD548C">
              <w:rPr>
                <w:lang w:val="en-GB"/>
              </w:rPr>
              <w:t>contratantes</w:t>
            </w:r>
            <w:r w:rsidRPr="007679CF">
              <w:rPr>
                <w:lang w:val="en-US"/>
              </w:rPr>
              <w:t xml:space="preserve"> </w:t>
            </w:r>
            <w:r w:rsidRPr="00AD548C">
              <w:rPr>
                <w:lang w:val="en-GB"/>
              </w:rPr>
              <w:t>que</w:t>
            </w:r>
            <w:r w:rsidRPr="007679CF">
              <w:rPr>
                <w:lang w:val="en-US"/>
              </w:rPr>
              <w:t xml:space="preserve"> </w:t>
            </w:r>
            <w:r w:rsidRPr="00AD548C">
              <w:rPr>
                <w:lang w:val="en-GB"/>
              </w:rPr>
              <w:t>informen</w:t>
            </w:r>
            <w:r w:rsidRPr="007679CF">
              <w:rPr>
                <w:lang w:val="en-US"/>
              </w:rPr>
              <w:t xml:space="preserve"> </w:t>
            </w:r>
            <w:r w:rsidRPr="00AD548C">
              <w:rPr>
                <w:lang w:val="en-GB"/>
              </w:rPr>
              <w:t>peri</w:t>
            </w:r>
            <w:r w:rsidRPr="007679CF">
              <w:rPr>
                <w:lang w:val="en-US"/>
              </w:rPr>
              <w:t>ó</w:t>
            </w:r>
            <w:r w:rsidRPr="00AD548C">
              <w:rPr>
                <w:lang w:val="en-GB"/>
              </w:rPr>
              <w:t>dicamente</w:t>
            </w:r>
            <w:r w:rsidRPr="007679CF">
              <w:rPr>
                <w:lang w:val="en-US"/>
              </w:rPr>
              <w:t xml:space="preserve"> </w:t>
            </w:r>
            <w:r w:rsidRPr="00AD548C">
              <w:rPr>
                <w:lang w:val="en-GB"/>
              </w:rPr>
              <w:t>sobre</w:t>
            </w:r>
            <w:r w:rsidRPr="007679CF">
              <w:rPr>
                <w:lang w:val="en-US"/>
              </w:rPr>
              <w:t xml:space="preserve"> </w:t>
            </w:r>
            <w:r w:rsidRPr="00AD548C">
              <w:rPr>
                <w:lang w:val="en-GB"/>
              </w:rPr>
              <w:t>el</w:t>
            </w:r>
            <w:r w:rsidRPr="007679CF">
              <w:rPr>
                <w:lang w:val="en-US"/>
              </w:rPr>
              <w:t xml:space="preserve"> </w:t>
            </w:r>
            <w:r w:rsidRPr="00AD548C">
              <w:rPr>
                <w:lang w:val="en-GB"/>
              </w:rPr>
              <w:t>estado</w:t>
            </w:r>
            <w:r w:rsidRPr="007679CF">
              <w:rPr>
                <w:lang w:val="en-US"/>
              </w:rPr>
              <w:t xml:space="preserve"> </w:t>
            </w:r>
            <w:r w:rsidRPr="00AD548C">
              <w:rPr>
                <w:lang w:val="en-GB"/>
              </w:rPr>
              <w:t>de</w:t>
            </w:r>
            <w:r w:rsidRPr="007679CF">
              <w:rPr>
                <w:lang w:val="en-US"/>
              </w:rPr>
              <w:t xml:space="preserve"> </w:t>
            </w:r>
            <w:r w:rsidRPr="00AD548C">
              <w:rPr>
                <w:lang w:val="en-GB"/>
              </w:rPr>
              <w:t>los</w:t>
            </w:r>
            <w:r w:rsidRPr="007679CF">
              <w:rPr>
                <w:lang w:val="en-US"/>
              </w:rPr>
              <w:t xml:space="preserve"> </w:t>
            </w:r>
            <w:r w:rsidRPr="00AD548C">
              <w:rPr>
                <w:lang w:val="en-GB"/>
              </w:rPr>
              <w:t>derechos</w:t>
            </w:r>
            <w:r w:rsidRPr="007679CF">
              <w:rPr>
                <w:lang w:val="en-US"/>
              </w:rPr>
              <w:t xml:space="preserve"> </w:t>
            </w:r>
            <w:r w:rsidRPr="00AD548C">
              <w:rPr>
                <w:lang w:val="en-GB"/>
              </w:rPr>
              <w:t>humanos</w:t>
            </w:r>
            <w:r w:rsidRPr="007679CF">
              <w:rPr>
                <w:lang w:val="en-US"/>
              </w:rPr>
              <w:t xml:space="preserve"> </w:t>
            </w:r>
            <w:r w:rsidRPr="00AD548C">
              <w:rPr>
                <w:lang w:val="en-GB"/>
              </w:rPr>
              <w:t>en</w:t>
            </w:r>
            <w:r w:rsidRPr="007679CF">
              <w:rPr>
                <w:lang w:val="en-US"/>
              </w:rPr>
              <w:t xml:space="preserve"> </w:t>
            </w:r>
            <w:r w:rsidRPr="00AD548C">
              <w:rPr>
                <w:lang w:val="en-GB"/>
              </w:rPr>
              <w:t>su</w:t>
            </w:r>
            <w:r w:rsidRPr="007679CF">
              <w:rPr>
                <w:lang w:val="en-US"/>
              </w:rPr>
              <w:t xml:space="preserve"> </w:t>
            </w:r>
            <w:r w:rsidRPr="00AD548C">
              <w:rPr>
                <w:lang w:val="en-GB"/>
              </w:rPr>
              <w:t>pa</w:t>
            </w:r>
            <w:r w:rsidRPr="007679CF">
              <w:rPr>
                <w:lang w:val="en-US"/>
              </w:rPr>
              <w:t>í</w:t>
            </w:r>
            <w:r w:rsidRPr="00AD548C">
              <w:rPr>
                <w:lang w:val="en-GB"/>
              </w:rPr>
              <w:t>s</w:t>
            </w:r>
            <w:r w:rsidRPr="007679CF">
              <w:rPr>
                <w:lang w:val="en-US"/>
              </w:rPr>
              <w:t xml:space="preserve">, </w:t>
            </w:r>
            <w:r w:rsidRPr="00AD548C">
              <w:rPr>
                <w:lang w:val="en-GB"/>
              </w:rPr>
              <w:t>es</w:t>
            </w:r>
            <w:r w:rsidRPr="007679CF">
              <w:rPr>
                <w:lang w:val="en-US"/>
              </w:rPr>
              <w:t xml:space="preserve"> </w:t>
            </w:r>
            <w:r w:rsidRPr="00AD548C">
              <w:rPr>
                <w:lang w:val="en-GB"/>
              </w:rPr>
              <w:t>decir</w:t>
            </w:r>
            <w:r w:rsidRPr="007679CF">
              <w:rPr>
                <w:lang w:val="en-US"/>
              </w:rPr>
              <w:t xml:space="preserve">, </w:t>
            </w:r>
            <w:r w:rsidRPr="00AD548C">
              <w:rPr>
                <w:lang w:val="en-GB"/>
              </w:rPr>
              <w:t>para</w:t>
            </w:r>
            <w:r w:rsidRPr="007679CF">
              <w:rPr>
                <w:lang w:val="en-US"/>
              </w:rPr>
              <w:t xml:space="preserve"> </w:t>
            </w:r>
            <w:r w:rsidRPr="00AD548C">
              <w:rPr>
                <w:lang w:val="en-GB"/>
              </w:rPr>
              <w:t>dar</w:t>
            </w:r>
            <w:r w:rsidRPr="007679CF">
              <w:rPr>
                <w:lang w:val="en-US"/>
              </w:rPr>
              <w:t xml:space="preserve"> </w:t>
            </w:r>
            <w:r w:rsidRPr="00AD548C">
              <w:rPr>
                <w:lang w:val="en-GB"/>
              </w:rPr>
              <w:t>una</w:t>
            </w:r>
            <w:r w:rsidRPr="007679CF">
              <w:rPr>
                <w:lang w:val="en-US"/>
              </w:rPr>
              <w:t xml:space="preserve"> </w:t>
            </w:r>
            <w:r w:rsidRPr="00AD548C">
              <w:rPr>
                <w:lang w:val="en-GB"/>
              </w:rPr>
              <w:t>visi</w:t>
            </w:r>
            <w:r w:rsidRPr="007679CF">
              <w:rPr>
                <w:lang w:val="en-US"/>
              </w:rPr>
              <w:t>ó</w:t>
            </w:r>
            <w:r w:rsidRPr="00AD548C">
              <w:rPr>
                <w:lang w:val="en-GB"/>
              </w:rPr>
              <w:t>n</w:t>
            </w:r>
            <w:r w:rsidRPr="007679CF">
              <w:rPr>
                <w:lang w:val="en-US"/>
              </w:rPr>
              <w:t xml:space="preserve"> </w:t>
            </w:r>
            <w:r w:rsidRPr="00AD548C">
              <w:rPr>
                <w:lang w:val="en-GB"/>
              </w:rPr>
              <w:t>general</w:t>
            </w:r>
            <w:r w:rsidRPr="007679CF">
              <w:rPr>
                <w:lang w:val="en-US"/>
              </w:rPr>
              <w:t xml:space="preserve"> </w:t>
            </w:r>
            <w:r w:rsidRPr="00AD548C">
              <w:rPr>
                <w:lang w:val="en-GB"/>
              </w:rPr>
              <w:t>de</w:t>
            </w:r>
            <w:r w:rsidRPr="007679CF">
              <w:rPr>
                <w:lang w:val="en-US"/>
              </w:rPr>
              <w:t xml:space="preserve"> </w:t>
            </w:r>
            <w:r w:rsidRPr="00AD548C">
              <w:rPr>
                <w:lang w:val="en-GB"/>
              </w:rPr>
              <w:t>c</w:t>
            </w:r>
            <w:r w:rsidRPr="007679CF">
              <w:rPr>
                <w:lang w:val="en-US"/>
              </w:rPr>
              <w:t>ó</w:t>
            </w:r>
            <w:r w:rsidRPr="00AD548C">
              <w:rPr>
                <w:lang w:val="en-GB"/>
              </w:rPr>
              <w:t>mo</w:t>
            </w:r>
            <w:r w:rsidRPr="007679CF">
              <w:rPr>
                <w:lang w:val="en-US"/>
              </w:rPr>
              <w:t xml:space="preserve"> </w:t>
            </w:r>
            <w:r w:rsidRPr="00AD548C">
              <w:rPr>
                <w:lang w:val="en-GB"/>
              </w:rPr>
              <w:t>se</w:t>
            </w:r>
            <w:r w:rsidRPr="007679CF">
              <w:rPr>
                <w:lang w:val="en-US"/>
              </w:rPr>
              <w:t xml:space="preserve"> </w:t>
            </w:r>
            <w:r w:rsidRPr="00AD548C">
              <w:rPr>
                <w:lang w:val="en-GB"/>
              </w:rPr>
              <w:t>han</w:t>
            </w:r>
            <w:r w:rsidRPr="007679CF">
              <w:rPr>
                <w:lang w:val="en-US"/>
              </w:rPr>
              <w:t xml:space="preserve"> </w:t>
            </w:r>
            <w:r w:rsidRPr="00AD548C">
              <w:rPr>
                <w:lang w:val="en-GB"/>
              </w:rPr>
              <w:t>implementado</w:t>
            </w:r>
            <w:r w:rsidRPr="007679CF">
              <w:rPr>
                <w:lang w:val="en-US"/>
              </w:rPr>
              <w:t xml:space="preserve"> </w:t>
            </w:r>
            <w:r w:rsidRPr="00AD548C">
              <w:rPr>
                <w:lang w:val="en-GB"/>
              </w:rPr>
              <w:t>los</w:t>
            </w:r>
            <w:r w:rsidRPr="007679CF">
              <w:rPr>
                <w:lang w:val="en-US"/>
              </w:rPr>
              <w:t xml:space="preserve"> </w:t>
            </w:r>
            <w:r w:rsidRPr="00AD548C">
              <w:rPr>
                <w:lang w:val="en-GB"/>
              </w:rPr>
              <w:t>derechos</w:t>
            </w:r>
            <w:r w:rsidRPr="007679CF">
              <w:rPr>
                <w:lang w:val="en-US"/>
              </w:rPr>
              <w:t xml:space="preserve"> </w:t>
            </w:r>
            <w:r w:rsidRPr="00AD548C">
              <w:rPr>
                <w:lang w:val="en-GB"/>
              </w:rPr>
              <w:t>humanos</w:t>
            </w:r>
            <w:r w:rsidRPr="007679CF">
              <w:rPr>
                <w:lang w:val="en-US"/>
              </w:rPr>
              <w:t xml:space="preserve">, </w:t>
            </w:r>
            <w:r w:rsidRPr="00AD548C">
              <w:rPr>
                <w:lang w:val="en-GB"/>
              </w:rPr>
              <w:t>promover</w:t>
            </w:r>
            <w:r w:rsidRPr="007679CF">
              <w:rPr>
                <w:lang w:val="en-US"/>
              </w:rPr>
              <w:t xml:space="preserve"> </w:t>
            </w:r>
            <w:r w:rsidRPr="00AD548C">
              <w:rPr>
                <w:lang w:val="en-GB"/>
              </w:rPr>
              <w:t>y</w:t>
            </w:r>
            <w:r w:rsidRPr="007679CF">
              <w:rPr>
                <w:lang w:val="en-US"/>
              </w:rPr>
              <w:t xml:space="preserve"> </w:t>
            </w:r>
            <w:r w:rsidRPr="00AD548C">
              <w:rPr>
                <w:lang w:val="en-GB"/>
              </w:rPr>
              <w:t>proteger</w:t>
            </w:r>
            <w:r w:rsidRPr="007679CF">
              <w:rPr>
                <w:lang w:val="en-US"/>
              </w:rPr>
              <w:t xml:space="preserve">. </w:t>
            </w:r>
            <w:r w:rsidRPr="00AD548C">
              <w:rPr>
                <w:lang w:val="en-GB"/>
              </w:rPr>
              <w:t>Este tipo de procedimientos puede ser considerado como el sistema de "regular" o "normal" en materia de derechos humanos internacionales de supervisión de la elaboración de informes forma parte de casi todas las convenciones internacionales importantes.</w:t>
            </w:r>
          </w:p>
          <w:p w:rsidR="00AD548C" w:rsidRPr="00AD548C" w:rsidRDefault="00AD548C" w:rsidP="00AD548C">
            <w:pPr>
              <w:pStyle w:val="BodyText"/>
              <w:rPr>
                <w:lang w:val="en-GB"/>
              </w:rPr>
            </w:pPr>
            <w:r w:rsidRPr="00AD548C">
              <w:rPr>
                <w:lang w:val="en-GB"/>
              </w:rPr>
              <w:t>Aquí radica la fuerza de los procedimientos de presentación de informes, ya que proporcionan los organismos internacionales de vigilancia con una visión periódica de la situación de derechos humanos en los Estados miembros de los diversos tratados. De esta manera, se permite a los órganos de vigilancia de plantear cuestiones fundamentales en la próxima reunión en la que los Estados deben presentar su informe nacional, y para iniciar el llamado "diálogo constructivo" entre los organismos de control y el estado.</w:t>
            </w:r>
          </w:p>
          <w:p w:rsidR="0034169D" w:rsidRPr="00EE24BF" w:rsidRDefault="00AD548C" w:rsidP="00AD548C">
            <w:pPr>
              <w:pStyle w:val="BodyText"/>
              <w:rPr>
                <w:lang w:val="en-US"/>
              </w:rPr>
            </w:pPr>
            <w:r w:rsidRPr="00AD548C">
              <w:rPr>
                <w:lang w:val="en-GB"/>
              </w:rPr>
              <w:t>Sin embargo, los procedimientos de presentación de informes también tienen debilidades. La más importante es que las conclusiones y recomendaciones emitidas por los órganos de vigilancia no son vinculantes para los Estados, por lo menos no en términos legales. Otro problema son los retrasos con que se presentaron algunos informes estatales, que pueden llevar a la extraña situación de que el organismo de control se involucra en un diálogo con el Estado sobre la base de información muy anticuado.</w:t>
            </w:r>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34169D" w:rsidRPr="00EE24BF" w:rsidTr="006B4B67">
        <w:tc>
          <w:tcPr>
            <w:tcW w:w="7337" w:type="dxa"/>
          </w:tcPr>
          <w:p w:rsidR="0034169D" w:rsidRPr="00C702EA" w:rsidRDefault="0034169D" w:rsidP="007D1DD3">
            <w:pPr>
              <w:pStyle w:val="Heading2"/>
              <w:rPr>
                <w:lang w:val="en-US"/>
              </w:rPr>
            </w:pPr>
            <w:bookmarkStart w:id="7" w:name="_Toc357600354"/>
            <w:r w:rsidRPr="00C702EA">
              <w:rPr>
                <w:lang w:val="en-US"/>
              </w:rPr>
              <w:t xml:space="preserve">3.2 </w:t>
            </w:r>
            <w:r w:rsidR="00AD548C" w:rsidRPr="00AD548C">
              <w:rPr>
                <w:lang w:val="en-US"/>
              </w:rPr>
              <w:t>Procedimientos de Quejas</w:t>
            </w:r>
            <w:bookmarkEnd w:id="7"/>
          </w:p>
        </w:tc>
        <w:tc>
          <w:tcPr>
            <w:tcW w:w="2552" w:type="dxa"/>
          </w:tcPr>
          <w:p w:rsidR="0034169D" w:rsidRPr="004D67C9" w:rsidRDefault="0034169D" w:rsidP="006B4B67">
            <w:pPr>
              <w:pStyle w:val="ListParagraph"/>
              <w:spacing w:after="0" w:line="240" w:lineRule="auto"/>
              <w:ind w:left="313"/>
              <w:rPr>
                <w:rFonts w:cs="Calibri"/>
                <w:b/>
                <w:i/>
                <w:sz w:val="20"/>
                <w:szCs w:val="20"/>
                <w:lang w:val="en-US"/>
              </w:rPr>
            </w:pPr>
          </w:p>
        </w:tc>
      </w:tr>
      <w:tr w:rsidR="00AD548C" w:rsidRPr="007679CF" w:rsidTr="006B4B67">
        <w:tc>
          <w:tcPr>
            <w:tcW w:w="7337" w:type="dxa"/>
          </w:tcPr>
          <w:p w:rsidR="00AD548C" w:rsidRPr="007679CF" w:rsidRDefault="00AD548C" w:rsidP="0015676A">
            <w:pPr>
              <w:rPr>
                <w:lang w:val="en-US"/>
              </w:rPr>
            </w:pPr>
            <w:r w:rsidRPr="007679CF">
              <w:rPr>
                <w:lang w:val="en-US"/>
              </w:rPr>
              <w:t xml:space="preserve">Los procedimientos de quejas constituyen un segundo tipo de supervisión internacional. Permiten que los casos concretos sobre violaciónes de los derechos humanos son entregados a las instituciones internacionales de </w:t>
            </w:r>
            <w:r w:rsidRPr="007679CF">
              <w:rPr>
                <w:lang w:val="en-US"/>
              </w:rPr>
              <w:lastRenderedPageBreak/>
              <w:t>vigilancia. Las quejas pueden ser presentadas por los Estados contra otros Estados ("denuncias entre los Estados"), y por personas o grupos de personas en contra de los Estados (las quejas individuales ").</w:t>
            </w:r>
          </w:p>
        </w:tc>
        <w:tc>
          <w:tcPr>
            <w:tcW w:w="2552" w:type="dxa"/>
          </w:tcPr>
          <w:p w:rsidR="00AD548C" w:rsidRPr="00F1047C" w:rsidRDefault="00AD548C" w:rsidP="00F1047C">
            <w:pPr>
              <w:spacing w:after="0" w:line="240" w:lineRule="auto"/>
              <w:rPr>
                <w:rFonts w:cs="Calibri"/>
                <w:i/>
                <w:sz w:val="20"/>
                <w:szCs w:val="20"/>
                <w:lang w:val="en-US"/>
              </w:rPr>
            </w:pPr>
          </w:p>
        </w:tc>
      </w:tr>
      <w:tr w:rsidR="00AD548C" w:rsidRPr="007679CF" w:rsidTr="006B4B67">
        <w:tc>
          <w:tcPr>
            <w:tcW w:w="7337" w:type="dxa"/>
          </w:tcPr>
          <w:p w:rsidR="00AD548C" w:rsidRPr="007679CF" w:rsidRDefault="00AD548C" w:rsidP="0015676A">
            <w:pPr>
              <w:rPr>
                <w:lang w:val="en-US"/>
              </w:rPr>
            </w:pPr>
            <w:r w:rsidRPr="007679CF">
              <w:rPr>
                <w:lang w:val="en-US"/>
              </w:rPr>
              <w:lastRenderedPageBreak/>
              <w:t>No todas las convenciones de derechos humanos contienen un procedimiento de denuncia. En el sistema de las Naciones Unidas, por ejemplo, sólo cinco de los principales convenios ofrecen la posibilidad de que las personas a presentar denuncias contra el Estado Contratante:</w:t>
            </w:r>
          </w:p>
        </w:tc>
        <w:tc>
          <w:tcPr>
            <w:tcW w:w="2552" w:type="dxa"/>
          </w:tcPr>
          <w:p w:rsidR="00AD548C" w:rsidRPr="004D67C9" w:rsidRDefault="00AD548C" w:rsidP="00F1047C">
            <w:pPr>
              <w:pStyle w:val="ListParagraph"/>
              <w:spacing w:after="0" w:line="240" w:lineRule="auto"/>
              <w:ind w:left="313"/>
              <w:rPr>
                <w:rFonts w:cs="Calibri"/>
                <w:i/>
                <w:sz w:val="20"/>
                <w:szCs w:val="20"/>
                <w:lang w:val="en-US"/>
              </w:rPr>
            </w:pPr>
          </w:p>
        </w:tc>
      </w:tr>
      <w:tr w:rsidR="0034169D" w:rsidRPr="00642339" w:rsidTr="006B4B67">
        <w:tc>
          <w:tcPr>
            <w:tcW w:w="7337" w:type="dxa"/>
          </w:tcPr>
          <w:p w:rsidR="0034169D" w:rsidRPr="007D1DD3" w:rsidRDefault="00026F56" w:rsidP="007D1DD3">
            <w:pPr>
              <w:pStyle w:val="BodyText"/>
              <w:numPr>
                <w:ilvl w:val="0"/>
                <w:numId w:val="6"/>
              </w:numPr>
              <w:rPr>
                <w:lang w:val="en-GB"/>
              </w:rPr>
            </w:pPr>
            <w:hyperlink r:id="rId25" w:history="1">
              <w:r w:rsidR="0034169D" w:rsidRPr="00EE7B0B">
                <w:rPr>
                  <w:rStyle w:val="Hyperlink"/>
                  <w:lang w:val="en-GB"/>
                </w:rPr>
                <w:t>International Convention on the Elimination of All Forms of Racial Discrimination</w:t>
              </w:r>
            </w:hyperlink>
            <w:r w:rsidR="0034169D" w:rsidRPr="007D1DD3">
              <w:rPr>
                <w:lang w:val="en-GB"/>
              </w:rPr>
              <w:t>;</w:t>
            </w:r>
          </w:p>
          <w:p w:rsidR="0034169D" w:rsidRPr="007D1DD3" w:rsidRDefault="0034169D" w:rsidP="007D1DD3">
            <w:pPr>
              <w:pStyle w:val="BodyText"/>
              <w:numPr>
                <w:ilvl w:val="0"/>
                <w:numId w:val="6"/>
              </w:numPr>
              <w:rPr>
                <w:lang w:val="en-GB"/>
              </w:rPr>
            </w:pPr>
            <w:r w:rsidRPr="007D1DD3">
              <w:rPr>
                <w:lang w:val="en-GB"/>
              </w:rPr>
              <w:t xml:space="preserve">International Covenant on Civil and Political Rights (in an </w:t>
            </w:r>
            <w:hyperlink r:id="rId26" w:history="1">
              <w:r w:rsidRPr="00EE7B0B">
                <w:rPr>
                  <w:rStyle w:val="Hyperlink"/>
                  <w:lang w:val="en-GB"/>
                </w:rPr>
                <w:t>optional protocol</w:t>
              </w:r>
            </w:hyperlink>
            <w:r w:rsidRPr="007D1DD3">
              <w:rPr>
                <w:lang w:val="en-GB"/>
              </w:rPr>
              <w:t>);</w:t>
            </w:r>
          </w:p>
          <w:p w:rsidR="0034169D" w:rsidRDefault="00026F56" w:rsidP="006B4B67">
            <w:pPr>
              <w:pStyle w:val="BodyText"/>
              <w:numPr>
                <w:ilvl w:val="0"/>
                <w:numId w:val="6"/>
              </w:numPr>
              <w:rPr>
                <w:lang w:val="en-GB"/>
              </w:rPr>
            </w:pPr>
            <w:hyperlink r:id="rId27" w:history="1">
              <w:r w:rsidR="0034169D" w:rsidRPr="00DF7E34">
                <w:rPr>
                  <w:rStyle w:val="Hyperlink"/>
                  <w:lang w:val="en-GB"/>
                </w:rPr>
                <w:t>Convention against Torture</w:t>
              </w:r>
            </w:hyperlink>
            <w:r w:rsidR="0034169D" w:rsidRPr="00B42032">
              <w:rPr>
                <w:lang w:val="en-GB"/>
              </w:rPr>
              <w:t xml:space="preserve"> and Other Cruel, Inhuman or Degrading Treatment or Punishment</w:t>
            </w:r>
            <w:r w:rsidR="0034169D" w:rsidRPr="007D1DD3">
              <w:rPr>
                <w:lang w:val="en-GB"/>
              </w:rPr>
              <w:t>;</w:t>
            </w:r>
          </w:p>
          <w:p w:rsidR="0034169D" w:rsidRPr="007D1DD3" w:rsidRDefault="00026F56" w:rsidP="00753DDD">
            <w:pPr>
              <w:pStyle w:val="BodyText"/>
              <w:numPr>
                <w:ilvl w:val="0"/>
                <w:numId w:val="6"/>
              </w:numPr>
              <w:rPr>
                <w:lang w:val="en-GB"/>
              </w:rPr>
            </w:pPr>
            <w:hyperlink r:id="rId28" w:history="1">
              <w:r w:rsidR="0034169D" w:rsidRPr="0044770D">
                <w:rPr>
                  <w:rStyle w:val="Hyperlink"/>
                  <w:lang w:val="en-GB"/>
                </w:rPr>
                <w:t xml:space="preserve">Convention on the Elimination of all </w:t>
              </w:r>
              <w:r w:rsidR="0034169D">
                <w:rPr>
                  <w:rStyle w:val="Hyperlink"/>
                  <w:lang w:val="en-GB"/>
                </w:rPr>
                <w:t>F</w:t>
              </w:r>
              <w:r w:rsidR="0034169D" w:rsidRPr="0044770D">
                <w:rPr>
                  <w:rStyle w:val="Hyperlink"/>
                  <w:lang w:val="en-GB"/>
                </w:rPr>
                <w:t>orms of Discrimination against Women</w:t>
              </w:r>
            </w:hyperlink>
            <w:r w:rsidR="0034169D" w:rsidRPr="007D1DD3">
              <w:rPr>
                <w:lang w:val="en-GB"/>
              </w:rPr>
              <w:t>;</w:t>
            </w:r>
            <w:r w:rsidR="0034169D">
              <w:rPr>
                <w:lang w:val="en-GB"/>
              </w:rPr>
              <w:t xml:space="preserve"> </w:t>
            </w:r>
          </w:p>
          <w:p w:rsidR="0034169D" w:rsidRPr="007D1DD3" w:rsidRDefault="0034169D" w:rsidP="006B4B67">
            <w:pPr>
              <w:pStyle w:val="BodyText"/>
              <w:numPr>
                <w:ilvl w:val="0"/>
                <w:numId w:val="6"/>
              </w:numPr>
              <w:rPr>
                <w:lang w:val="en-GB"/>
              </w:rPr>
            </w:pPr>
            <w:r w:rsidRPr="00E26DFE">
              <w:rPr>
                <w:rStyle w:val="Hyperlink"/>
                <w:lang w:val="en-GB"/>
              </w:rPr>
              <w:t>the Convention on the Rights of Persons with Disabilities.</w:t>
            </w:r>
          </w:p>
          <w:p w:rsidR="00AD548C" w:rsidRPr="00AD548C" w:rsidRDefault="00AD548C" w:rsidP="00AD548C">
            <w:pPr>
              <w:pStyle w:val="BodyText"/>
              <w:rPr>
                <w:lang w:val="en-GB"/>
              </w:rPr>
            </w:pPr>
            <w:r>
              <w:rPr>
                <w:lang w:val="en-GB"/>
              </w:rPr>
              <w:br/>
            </w:r>
            <w:r w:rsidRPr="00AD548C">
              <w:rPr>
                <w:lang w:val="en-GB"/>
              </w:rPr>
              <w:t>En la práctica, estos procedimientos de quejas se centran principalmente en los derechos civiles y políticos, y la tortura y los malos tratos son entre ellos. El Protocolo Facultativo establece un mecanismo de denuncias individuales de los derechos económicos, sociales y culturales se ha adoptado en 2008, pero aún no está en vigor. Tampoco la Convención sobre los Derechos del Niño prevé un procedimiento de denuncia.</w:t>
            </w:r>
          </w:p>
          <w:p w:rsidR="00AD548C" w:rsidRPr="00AD548C" w:rsidRDefault="00AD548C" w:rsidP="00AD548C">
            <w:pPr>
              <w:pStyle w:val="BodyText"/>
              <w:rPr>
                <w:lang w:val="en-GB"/>
              </w:rPr>
            </w:pPr>
            <w:r w:rsidRPr="00AD548C">
              <w:rPr>
                <w:lang w:val="en-GB"/>
              </w:rPr>
              <w:t>Aparte del sistema de las Naciones Unidas, algunos de los principales instrumentos de derechos humanos en un contexto regional proporcionan los procedimientos de reclamación:</w:t>
            </w:r>
          </w:p>
          <w:p w:rsidR="00AD548C" w:rsidRPr="00AD548C" w:rsidRDefault="00AD548C" w:rsidP="00AD548C">
            <w:pPr>
              <w:pStyle w:val="BodyText"/>
              <w:rPr>
                <w:lang w:val="en-GB"/>
              </w:rPr>
            </w:pPr>
            <w:r w:rsidRPr="00AD548C">
              <w:rPr>
                <w:lang w:val="en-GB"/>
              </w:rPr>
              <w:t>• el Convenio Europeo de Derechos Humanos y de las Libertades Fundamentales;</w:t>
            </w:r>
          </w:p>
          <w:p w:rsidR="00AD548C" w:rsidRPr="00AD548C" w:rsidRDefault="00AD548C" w:rsidP="00AD548C">
            <w:pPr>
              <w:pStyle w:val="BodyText"/>
              <w:rPr>
                <w:lang w:val="en-GB"/>
              </w:rPr>
            </w:pPr>
            <w:r w:rsidRPr="00AD548C">
              <w:rPr>
                <w:lang w:val="en-GB"/>
              </w:rPr>
              <w:t>• la Convención Americana sobre Derechos Humanos;</w:t>
            </w:r>
          </w:p>
          <w:p w:rsidR="0034169D" w:rsidRPr="007D1DD3" w:rsidRDefault="00AD548C" w:rsidP="00AD548C">
            <w:pPr>
              <w:pStyle w:val="BodyText"/>
              <w:numPr>
                <w:ilvl w:val="0"/>
                <w:numId w:val="6"/>
              </w:numPr>
              <w:rPr>
                <w:lang w:val="en-GB"/>
              </w:rPr>
            </w:pPr>
            <w:r w:rsidRPr="00AD548C">
              <w:rPr>
                <w:lang w:val="en-GB"/>
              </w:rPr>
              <w:t>• La Carta Africana de Derechos Humanos y de los Pueblos.</w:t>
            </w:r>
          </w:p>
        </w:tc>
        <w:tc>
          <w:tcPr>
            <w:tcW w:w="2552" w:type="dxa"/>
          </w:tcPr>
          <w:p w:rsidR="0034169D" w:rsidRDefault="0034169D" w:rsidP="00EE7B0B">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art. 11 – Art. 16</w:t>
            </w:r>
          </w:p>
          <w:p w:rsidR="0034169D" w:rsidRPr="00EE7B0B" w:rsidRDefault="0034169D" w:rsidP="00EE7B0B">
            <w:pPr>
              <w:spacing w:after="0" w:line="240" w:lineRule="auto"/>
              <w:rPr>
                <w:rFonts w:cs="Calibri"/>
                <w:i/>
                <w:sz w:val="32"/>
                <w:szCs w:val="32"/>
                <w:lang w:val="en-US"/>
              </w:rPr>
            </w:pPr>
          </w:p>
          <w:p w:rsidR="00AD548C" w:rsidRDefault="00AD548C" w:rsidP="00AD548C">
            <w:pPr>
              <w:pStyle w:val="ListParagraph"/>
              <w:numPr>
                <w:ilvl w:val="0"/>
                <w:numId w:val="8"/>
              </w:numPr>
              <w:spacing w:after="0" w:line="240" w:lineRule="auto"/>
              <w:rPr>
                <w:rFonts w:cs="Calibri"/>
                <w:i/>
                <w:sz w:val="20"/>
                <w:szCs w:val="20"/>
                <w:lang w:val="en-US"/>
              </w:rPr>
            </w:pPr>
            <w:r w:rsidRPr="00AD548C">
              <w:rPr>
                <w:rFonts w:cs="Calibri"/>
                <w:i/>
                <w:sz w:val="20"/>
                <w:szCs w:val="20"/>
                <w:lang w:val="en-US"/>
              </w:rPr>
              <w:t xml:space="preserve">Para más detalles, lea el texto del protocolo </w:t>
            </w:r>
            <w:r>
              <w:rPr>
                <w:rFonts w:cs="Calibri"/>
                <w:i/>
                <w:sz w:val="20"/>
                <w:szCs w:val="20"/>
                <w:lang w:val="en-US"/>
              </w:rPr>
              <w:t>facultative</w:t>
            </w:r>
          </w:p>
          <w:p w:rsidR="00AD548C" w:rsidRDefault="00AD548C" w:rsidP="00AD548C">
            <w:pPr>
              <w:pStyle w:val="ListParagraph"/>
              <w:rPr>
                <w:rFonts w:cs="Calibri"/>
                <w:i/>
                <w:sz w:val="20"/>
                <w:szCs w:val="20"/>
                <w:lang w:val="en-US"/>
              </w:rPr>
            </w:pPr>
          </w:p>
          <w:p w:rsidR="0034169D" w:rsidRDefault="0034169D" w:rsidP="00AD548C">
            <w:pPr>
              <w:pStyle w:val="ListParagraph"/>
              <w:numPr>
                <w:ilvl w:val="0"/>
                <w:numId w:val="8"/>
              </w:numPr>
              <w:spacing w:after="0" w:line="240" w:lineRule="auto"/>
              <w:rPr>
                <w:rFonts w:cs="Calibri"/>
                <w:i/>
                <w:sz w:val="20"/>
                <w:szCs w:val="20"/>
                <w:lang w:val="en-US"/>
              </w:rPr>
            </w:pPr>
            <w:r>
              <w:rPr>
                <w:rFonts w:cs="Calibri"/>
                <w:i/>
                <w:sz w:val="20"/>
                <w:szCs w:val="20"/>
                <w:lang w:val="en-US"/>
              </w:rPr>
              <w:t xml:space="preserve"> Art. 20-23</w:t>
            </w: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Art. 34</w:t>
            </w: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 xml:space="preserve"> Art. 44</w:t>
            </w: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 xml:space="preserve"> Art. 55</w:t>
            </w:r>
          </w:p>
          <w:p w:rsidR="0034169D" w:rsidRPr="00EE7B0B" w:rsidRDefault="0034169D" w:rsidP="00EE7B0B">
            <w:pPr>
              <w:spacing w:after="0" w:line="240" w:lineRule="auto"/>
              <w:rPr>
                <w:rFonts w:cs="Calibri"/>
                <w:i/>
                <w:sz w:val="20"/>
                <w:szCs w:val="20"/>
                <w:lang w:val="en-US"/>
              </w:rPr>
            </w:pPr>
          </w:p>
        </w:tc>
      </w:tr>
      <w:tr w:rsidR="0034169D" w:rsidRPr="007679CF" w:rsidTr="006B4B67">
        <w:tc>
          <w:tcPr>
            <w:tcW w:w="7337" w:type="dxa"/>
          </w:tcPr>
          <w:p w:rsidR="00AD548C" w:rsidRPr="00AD548C" w:rsidRDefault="00AD548C" w:rsidP="00AD548C">
            <w:pPr>
              <w:pStyle w:val="BodyText"/>
              <w:rPr>
                <w:lang w:val="en-GB"/>
              </w:rPr>
            </w:pPr>
            <w:r w:rsidRPr="00AD548C">
              <w:rPr>
                <w:lang w:val="en-GB"/>
              </w:rPr>
              <w:t>En</w:t>
            </w:r>
            <w:r w:rsidRPr="007679CF">
              <w:rPr>
                <w:lang w:val="en-US"/>
              </w:rPr>
              <w:t xml:space="preserve"> </w:t>
            </w:r>
            <w:r w:rsidRPr="00AD548C">
              <w:rPr>
                <w:lang w:val="en-GB"/>
              </w:rPr>
              <w:t>comparacion</w:t>
            </w:r>
            <w:r w:rsidRPr="007679CF">
              <w:rPr>
                <w:lang w:val="en-US"/>
              </w:rPr>
              <w:t xml:space="preserve"> </w:t>
            </w:r>
            <w:r w:rsidRPr="00AD548C">
              <w:rPr>
                <w:lang w:val="en-GB"/>
              </w:rPr>
              <w:t>con</w:t>
            </w:r>
            <w:r w:rsidRPr="007679CF">
              <w:rPr>
                <w:lang w:val="en-US"/>
              </w:rPr>
              <w:t xml:space="preserve"> </w:t>
            </w:r>
            <w:r w:rsidRPr="00AD548C">
              <w:rPr>
                <w:lang w:val="en-GB"/>
              </w:rPr>
              <w:t>los</w:t>
            </w:r>
            <w:r w:rsidRPr="007679CF">
              <w:rPr>
                <w:lang w:val="en-US"/>
              </w:rPr>
              <w:t xml:space="preserve"> </w:t>
            </w:r>
            <w:r>
              <w:rPr>
                <w:lang w:val="en-GB"/>
              </w:rPr>
              <w:t>procedimentos</w:t>
            </w:r>
            <w:r w:rsidRPr="007679CF">
              <w:rPr>
                <w:lang w:val="en-US"/>
              </w:rPr>
              <w:t xml:space="preserve"> </w:t>
            </w:r>
            <w:r w:rsidRPr="00AD548C">
              <w:rPr>
                <w:lang w:val="en-GB"/>
              </w:rPr>
              <w:t>de</w:t>
            </w:r>
            <w:r w:rsidRPr="007679CF">
              <w:rPr>
                <w:lang w:val="en-US"/>
              </w:rPr>
              <w:t xml:space="preserve"> </w:t>
            </w:r>
            <w:r w:rsidRPr="00AD548C">
              <w:rPr>
                <w:lang w:val="en-GB"/>
              </w:rPr>
              <w:t>Informaci</w:t>
            </w:r>
            <w:r w:rsidRPr="007679CF">
              <w:rPr>
                <w:lang w:val="en-US"/>
              </w:rPr>
              <w:t>ó</w:t>
            </w:r>
            <w:r w:rsidRPr="00AD548C">
              <w:rPr>
                <w:lang w:val="en-GB"/>
              </w:rPr>
              <w:t>n</w:t>
            </w:r>
            <w:r w:rsidRPr="007679CF">
              <w:rPr>
                <w:lang w:val="en-US"/>
              </w:rPr>
              <w:t xml:space="preserve">, </w:t>
            </w:r>
            <w:r>
              <w:rPr>
                <w:lang w:val="en-GB"/>
              </w:rPr>
              <w:t>procedimentos</w:t>
            </w:r>
            <w:r w:rsidRPr="007679CF">
              <w:rPr>
                <w:lang w:val="en-US"/>
              </w:rPr>
              <w:t xml:space="preserve"> </w:t>
            </w:r>
            <w:r w:rsidRPr="00AD548C">
              <w:rPr>
                <w:lang w:val="en-GB"/>
              </w:rPr>
              <w:t>de</w:t>
            </w:r>
            <w:r w:rsidRPr="007679CF">
              <w:rPr>
                <w:lang w:val="en-US"/>
              </w:rPr>
              <w:t xml:space="preserve"> </w:t>
            </w:r>
            <w:r w:rsidRPr="00AD548C">
              <w:rPr>
                <w:lang w:val="en-GB"/>
              </w:rPr>
              <w:t>denuncia</w:t>
            </w:r>
            <w:r w:rsidRPr="007679CF">
              <w:rPr>
                <w:lang w:val="en-US"/>
              </w:rPr>
              <w:t xml:space="preserve"> </w:t>
            </w:r>
            <w:r w:rsidRPr="00AD548C">
              <w:rPr>
                <w:lang w:val="en-GB"/>
              </w:rPr>
              <w:t>siguen</w:t>
            </w:r>
            <w:r w:rsidRPr="007679CF">
              <w:rPr>
                <w:lang w:val="en-US"/>
              </w:rPr>
              <w:t xml:space="preserve"> </w:t>
            </w:r>
            <w:r w:rsidRPr="00AD548C">
              <w:rPr>
                <w:lang w:val="en-GB"/>
              </w:rPr>
              <w:t>siendo</w:t>
            </w:r>
            <w:r w:rsidRPr="007679CF">
              <w:rPr>
                <w:lang w:val="en-US"/>
              </w:rPr>
              <w:t xml:space="preserve"> </w:t>
            </w:r>
            <w:r>
              <w:rPr>
                <w:lang w:val="en-GB"/>
              </w:rPr>
              <w:t>u</w:t>
            </w:r>
            <w:r w:rsidRPr="00AD548C">
              <w:rPr>
                <w:lang w:val="en-GB"/>
              </w:rPr>
              <w:t>na</w:t>
            </w:r>
            <w:r w:rsidRPr="007679CF">
              <w:rPr>
                <w:lang w:val="en-US"/>
              </w:rPr>
              <w:t xml:space="preserve"> </w:t>
            </w:r>
            <w:r>
              <w:rPr>
                <w:lang w:val="en-GB"/>
              </w:rPr>
              <w:t>e</w:t>
            </w:r>
            <w:r w:rsidRPr="00AD548C">
              <w:rPr>
                <w:lang w:val="en-GB"/>
              </w:rPr>
              <w:t>xcepci</w:t>
            </w:r>
            <w:r w:rsidRPr="007679CF">
              <w:rPr>
                <w:lang w:val="en-US"/>
              </w:rPr>
              <w:t>ó</w:t>
            </w:r>
            <w:r w:rsidRPr="00AD548C">
              <w:rPr>
                <w:lang w:val="en-GB"/>
              </w:rPr>
              <w:t>n</w:t>
            </w:r>
            <w:r w:rsidRPr="007679CF">
              <w:rPr>
                <w:lang w:val="en-US"/>
              </w:rPr>
              <w:t xml:space="preserve"> </w:t>
            </w:r>
            <w:r w:rsidRPr="00AD548C">
              <w:rPr>
                <w:lang w:val="en-GB"/>
              </w:rPr>
              <w:t>en</w:t>
            </w:r>
            <w:r w:rsidRPr="007679CF">
              <w:rPr>
                <w:lang w:val="en-US"/>
              </w:rPr>
              <w:t xml:space="preserve"> </w:t>
            </w:r>
            <w:r w:rsidRPr="00AD548C">
              <w:rPr>
                <w:lang w:val="en-GB"/>
              </w:rPr>
              <w:t>la</w:t>
            </w:r>
            <w:r w:rsidRPr="007679CF">
              <w:rPr>
                <w:lang w:val="en-US"/>
              </w:rPr>
              <w:t xml:space="preserve"> </w:t>
            </w:r>
            <w:r w:rsidRPr="00AD548C">
              <w:rPr>
                <w:lang w:val="en-GB"/>
              </w:rPr>
              <w:t>lucha</w:t>
            </w:r>
            <w:r w:rsidRPr="007679CF">
              <w:rPr>
                <w:lang w:val="en-US"/>
              </w:rPr>
              <w:t xml:space="preserve"> </w:t>
            </w:r>
            <w:r w:rsidRPr="00AD548C">
              <w:rPr>
                <w:lang w:val="en-GB"/>
              </w:rPr>
              <w:t>internacional</w:t>
            </w:r>
            <w:r w:rsidRPr="007679CF">
              <w:rPr>
                <w:lang w:val="en-US"/>
              </w:rPr>
              <w:t xml:space="preserve"> </w:t>
            </w:r>
            <w:r w:rsidRPr="00AD548C">
              <w:rPr>
                <w:lang w:val="en-GB"/>
              </w:rPr>
              <w:t>contra</w:t>
            </w:r>
            <w:r w:rsidRPr="007679CF">
              <w:rPr>
                <w:lang w:val="en-US"/>
              </w:rPr>
              <w:t xml:space="preserve"> </w:t>
            </w:r>
            <w:r w:rsidRPr="00AD548C">
              <w:rPr>
                <w:lang w:val="en-GB"/>
              </w:rPr>
              <w:t>las</w:t>
            </w:r>
            <w:r w:rsidRPr="007679CF">
              <w:rPr>
                <w:lang w:val="en-US"/>
              </w:rPr>
              <w:t xml:space="preserve"> </w:t>
            </w:r>
            <w:r w:rsidRPr="00AD548C">
              <w:rPr>
                <w:lang w:val="en-GB"/>
              </w:rPr>
              <w:t>Violaciones</w:t>
            </w:r>
            <w:r w:rsidRPr="007679CF">
              <w:rPr>
                <w:lang w:val="en-US"/>
              </w:rPr>
              <w:t xml:space="preserve"> </w:t>
            </w:r>
            <w:r w:rsidRPr="00AD548C">
              <w:rPr>
                <w:lang w:val="en-GB"/>
              </w:rPr>
              <w:t>de</w:t>
            </w:r>
            <w:r w:rsidRPr="007679CF">
              <w:rPr>
                <w:lang w:val="en-US"/>
              </w:rPr>
              <w:t xml:space="preserve"> </w:t>
            </w:r>
            <w:r w:rsidRPr="00AD548C">
              <w:rPr>
                <w:lang w:val="en-GB"/>
              </w:rPr>
              <w:t>los</w:t>
            </w:r>
            <w:r w:rsidRPr="007679CF">
              <w:rPr>
                <w:lang w:val="en-US"/>
              </w:rPr>
              <w:t xml:space="preserve"> </w:t>
            </w:r>
            <w:r w:rsidRPr="00AD548C">
              <w:rPr>
                <w:lang w:val="en-GB"/>
              </w:rPr>
              <w:t>Derechos</w:t>
            </w:r>
            <w:r w:rsidRPr="007679CF">
              <w:rPr>
                <w:lang w:val="en-US"/>
              </w:rPr>
              <w:t xml:space="preserve"> </w:t>
            </w:r>
            <w:r w:rsidRPr="00AD548C">
              <w:rPr>
                <w:lang w:val="en-GB"/>
              </w:rPr>
              <w:t>Humanos</w:t>
            </w:r>
            <w:r w:rsidRPr="007679CF">
              <w:rPr>
                <w:lang w:val="en-US"/>
              </w:rPr>
              <w:t xml:space="preserve">. </w:t>
            </w:r>
            <w:r w:rsidRPr="00AD548C">
              <w:rPr>
                <w:lang w:val="en-GB"/>
              </w:rPr>
              <w:t xml:space="preserve">Una de las Razones Que tienden es un servicio opcional, Lo Que significa Que se Requiere Una confirmacion Adicional de los </w:t>
            </w:r>
            <w:r>
              <w:rPr>
                <w:lang w:val="en-GB"/>
              </w:rPr>
              <w:t>estados (Como u</w:t>
            </w:r>
            <w:r w:rsidRPr="00AD548C">
              <w:rPr>
                <w:lang w:val="en-GB"/>
              </w:rPr>
              <w:t>na DECLARACIÓN especial o inclusó Ratificació</w:t>
            </w:r>
            <w:r>
              <w:rPr>
                <w:lang w:val="en-GB"/>
              </w:rPr>
              <w:t>n). Una Excepción notables Es el p</w:t>
            </w:r>
            <w:r w:rsidRPr="00AD548C">
              <w:rPr>
                <w:lang w:val="en-GB"/>
              </w:rPr>
              <w:t>roc</w:t>
            </w:r>
            <w:r>
              <w:rPr>
                <w:lang w:val="en-GB"/>
              </w:rPr>
              <w:t>edure de denuncia individuales b</w:t>
            </w:r>
            <w:r w:rsidRPr="00AD548C">
              <w:rPr>
                <w:lang w:val="en-GB"/>
              </w:rPr>
              <w:t xml:space="preserve">ajo La </w:t>
            </w:r>
            <w:r w:rsidRPr="00AD548C">
              <w:rPr>
                <w:lang w:val="en-GB"/>
              </w:rPr>
              <w:lastRenderedPageBreak/>
              <w:t>Convenci</w:t>
            </w:r>
            <w:r>
              <w:rPr>
                <w:lang w:val="en-GB"/>
              </w:rPr>
              <w:t>ón Europea, Que Ya No Es u</w:t>
            </w:r>
            <w:r w:rsidRPr="00AD548C">
              <w:rPr>
                <w:lang w:val="en-GB"/>
              </w:rPr>
              <w:t xml:space="preserve">n </w:t>
            </w:r>
            <w:r>
              <w:rPr>
                <w:lang w:val="en-GB"/>
              </w:rPr>
              <w:t>procedura</w:t>
            </w:r>
            <w:r w:rsidRPr="00AD548C">
              <w:rPr>
                <w:lang w:val="en-GB"/>
              </w:rPr>
              <w:t xml:space="preserve"> </w:t>
            </w:r>
            <w:r>
              <w:rPr>
                <w:lang w:val="en-GB"/>
              </w:rPr>
              <w:t xml:space="preserve">opcional sino una condition </w:t>
            </w:r>
            <w:r w:rsidRPr="00AD548C">
              <w:rPr>
                <w:lang w:val="en-GB"/>
              </w:rPr>
              <w:t xml:space="preserve">párrafo sU aplicabilidad párr </w:t>
            </w:r>
            <w:r>
              <w:rPr>
                <w:lang w:val="en-GB"/>
              </w:rPr>
              <w:t>todas las partes</w:t>
            </w:r>
            <w:r w:rsidRPr="00AD548C">
              <w:rPr>
                <w:lang w:val="en-GB"/>
              </w:rPr>
              <w:t xml:space="preserve"> Contratantes. En el caso de los procedimientos facultativos de denuncia, está claro que los Estados conservan el poder de no aceptarlos y así barra de individuos y grupos a partir de la presentación de quejas ante el órgano de control. Otra de las debilidades de los procedimientos de quejas individuales es que pueden tomar mucho tiempo antes de terminar en una conclusión o un juicio. Procedimientos que 3 a 5 últimos años, en lo alto de un procedimiento nacional largos, no son excepciones.</w:t>
            </w:r>
          </w:p>
          <w:p w:rsidR="0034169D" w:rsidRPr="00EE24BF" w:rsidRDefault="00AD548C" w:rsidP="00AD548C">
            <w:pPr>
              <w:pStyle w:val="BodyText"/>
              <w:rPr>
                <w:lang w:val="en-US"/>
              </w:rPr>
            </w:pPr>
            <w:r w:rsidRPr="00AD548C">
              <w:rPr>
                <w:lang w:val="en-GB"/>
              </w:rPr>
              <w:t>Sin embargo, debe quedar claro que los procedimientos de queja, en particular, los que permiten a las personas llevar sus quejas a un órgano internacional, dan lugar a decisiones muy específicas que pueden tener consecuencias de gran alcance para la situación de los derechos humanos en los Estados. Ciertamente, las sentencias del Tribunal Europeo de Derechos Humanos y la Corte Interamericana de Derechos Humanos son vistos y leídos con gran interés por los profesionales del derecho y defensores de derechos humanos en todo el mundo.</w:t>
            </w:r>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34169D" w:rsidRPr="002A3956" w:rsidTr="006B4B67">
        <w:tc>
          <w:tcPr>
            <w:tcW w:w="7337" w:type="dxa"/>
          </w:tcPr>
          <w:p w:rsidR="0034169D" w:rsidRPr="00C702EA" w:rsidRDefault="0034169D" w:rsidP="007D1DD3">
            <w:pPr>
              <w:pStyle w:val="Heading2"/>
              <w:rPr>
                <w:lang w:val="en-US"/>
              </w:rPr>
            </w:pPr>
            <w:bookmarkStart w:id="8" w:name="_Toc357600355"/>
            <w:r w:rsidRPr="00C702EA">
              <w:rPr>
                <w:lang w:val="en-US"/>
              </w:rPr>
              <w:lastRenderedPageBreak/>
              <w:t xml:space="preserve">3.3 </w:t>
            </w:r>
            <w:r w:rsidR="00AD548C" w:rsidRPr="00AD548C">
              <w:rPr>
                <w:lang w:val="en-US"/>
              </w:rPr>
              <w:t>procedimientos de investigación</w:t>
            </w:r>
            <w:bookmarkEnd w:id="8"/>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AD548C" w:rsidRPr="007679CF" w:rsidTr="006B4B67">
        <w:tc>
          <w:tcPr>
            <w:tcW w:w="7337" w:type="dxa"/>
          </w:tcPr>
          <w:p w:rsidR="00AD548C" w:rsidRPr="007679CF" w:rsidRDefault="00AD548C" w:rsidP="008331A7">
            <w:pPr>
              <w:rPr>
                <w:lang w:val="en-US"/>
              </w:rPr>
            </w:pPr>
            <w:r w:rsidRPr="007679CF">
              <w:rPr>
                <w:lang w:val="en-US"/>
              </w:rPr>
              <w:t>Una tercera forma de control internacional puede resumirse en «los procedimientos de investigación. En sentido estricto, este término sólo se aplica a un número limitado de comisiones (órganos) que tienen la posibilidad de visitar los Estados Partes, donde existan indicios de graves violaciónes del tratado. En particular, el Comité contra la Tortura y el Comité para la Eliminación de la Discriminación contra la Mujer de las Naciones Unidas podrán, por iniciativa propia, iniciar investigaciones si han recibido información sobre violaciónes graves o sistemáticas. Lo mismo ocurre con el Comité Europeo para la Prevención de la Tortura, un órgano de supervisión dentro del Consejo de Europa.</w:t>
            </w:r>
          </w:p>
        </w:tc>
        <w:tc>
          <w:tcPr>
            <w:tcW w:w="2552" w:type="dxa"/>
          </w:tcPr>
          <w:p w:rsidR="00AD548C" w:rsidRPr="004D67C9" w:rsidRDefault="00AD548C" w:rsidP="006B4B67">
            <w:pPr>
              <w:spacing w:after="0" w:line="240" w:lineRule="auto"/>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Default="00AD548C" w:rsidP="006B4B67">
            <w:pPr>
              <w:pStyle w:val="ListParagraph"/>
              <w:spacing w:after="0" w:line="240" w:lineRule="auto"/>
              <w:ind w:left="403"/>
              <w:rPr>
                <w:rFonts w:cs="Calibri"/>
                <w:i/>
                <w:sz w:val="20"/>
                <w:szCs w:val="20"/>
                <w:lang w:val="en-US"/>
              </w:rPr>
            </w:pPr>
          </w:p>
          <w:p w:rsidR="00AD548C" w:rsidRPr="004D67C9" w:rsidRDefault="00AD548C" w:rsidP="006B4B67">
            <w:pPr>
              <w:pStyle w:val="ListParagraph"/>
              <w:spacing w:after="0" w:line="240" w:lineRule="auto"/>
              <w:ind w:left="403"/>
              <w:rPr>
                <w:rFonts w:cs="Calibri"/>
                <w:i/>
                <w:sz w:val="20"/>
                <w:szCs w:val="20"/>
                <w:lang w:val="en-US"/>
              </w:rPr>
            </w:pPr>
          </w:p>
        </w:tc>
      </w:tr>
      <w:tr w:rsidR="00AD548C" w:rsidRPr="007679CF" w:rsidTr="006B4B67">
        <w:tc>
          <w:tcPr>
            <w:tcW w:w="7337" w:type="dxa"/>
          </w:tcPr>
          <w:p w:rsidR="00AD548C" w:rsidRPr="007679CF" w:rsidRDefault="00AD548C" w:rsidP="008331A7">
            <w:pPr>
              <w:rPr>
                <w:lang w:val="en-US"/>
              </w:rPr>
            </w:pPr>
            <w:r w:rsidRPr="007679CF">
              <w:rPr>
                <w:lang w:val="en-US"/>
              </w:rPr>
              <w:t xml:space="preserve">Más importante, sin embargo, son los llamados Procedimientos Especiales, que también se puede decir que constituyen los procedimientos de investigación. Algunos de estos procedimientos se centran en diferentes tipos de violaciónes de derechos humanos en un país determinado («procedimientos específicos de cada país"), otros se centran en los tipos específicos de violaciónes de derechos humanos en todo el mundo ("procedimientos temáticos"). Algunos procedimientos son públicos, otros son confidenciales. También hay diferencias </w:t>
            </w:r>
            <w:r w:rsidRPr="007679CF">
              <w:rPr>
                <w:lang w:val="en-US"/>
              </w:rPr>
              <w:lastRenderedPageBreak/>
              <w:t>en la estructura: se pueden distinguir grupos de trabajo, relatores especiales, representantes especiales y expertos independientes. Aunque hay muchas diferencias dentro de estos procedimientos, todos ellos tienen una cosa en común: todos ellos apuntan a reacciones rápidas (por teléfono, fax, correo electrónico o visitas inesperadas) a los problemas urgentes cuando violaciónes de derechos humanos es probable que ocurran, y en algunos casos que establecen un enfoque proactivo para prevenir violaciónes de ocurrir. En el ámbito de la tortura y los malos tratos, la importancia del papel de la Relatora Especial de la ONU sobre la Tortura no puede ser sobrestimada.</w:t>
            </w:r>
          </w:p>
        </w:tc>
        <w:tc>
          <w:tcPr>
            <w:tcW w:w="2552" w:type="dxa"/>
          </w:tcPr>
          <w:p w:rsidR="00AD548C" w:rsidRDefault="00AD548C">
            <w:pPr>
              <w:pStyle w:val="ListParagraph"/>
              <w:spacing w:after="0" w:line="240" w:lineRule="auto"/>
              <w:ind w:left="318"/>
              <w:rPr>
                <w:rFonts w:cs="Calibri"/>
                <w:i/>
                <w:sz w:val="20"/>
                <w:szCs w:val="20"/>
                <w:lang w:val="en-US"/>
              </w:rPr>
            </w:pPr>
          </w:p>
        </w:tc>
      </w:tr>
      <w:tr w:rsidR="00AD548C" w:rsidRPr="007679CF" w:rsidTr="006B4B67">
        <w:tc>
          <w:tcPr>
            <w:tcW w:w="7337" w:type="dxa"/>
          </w:tcPr>
          <w:p w:rsidR="00AD548C" w:rsidRPr="007679CF" w:rsidRDefault="00AD548C" w:rsidP="008331A7">
            <w:pPr>
              <w:rPr>
                <w:lang w:val="en-US"/>
              </w:rPr>
            </w:pPr>
            <w:r w:rsidRPr="007679CF">
              <w:rPr>
                <w:lang w:val="en-US"/>
              </w:rPr>
              <w:lastRenderedPageBreak/>
              <w:t>Precisamente la flexibilidad de su mandato y los procedimientos de trabajo constituye la principal fortaleza de estos procedimientos de investigación. Esta flexibilidad les permite ajustar sus métodos de trabajo a los problemas muy concretos y urgentes que se enfrentan. Además, no ratificación anterior o aprobación por los Estados es necesario, ya que los procedimientos especiales tienen un mandato que abarca a todos los Estados Miembros de las Naciones Unidas o del sistema regional correspondiente, como la Organización de Estados Americanos o de la Unidad Africana.</w:t>
            </w:r>
          </w:p>
        </w:tc>
        <w:tc>
          <w:tcPr>
            <w:tcW w:w="2552" w:type="dxa"/>
          </w:tcPr>
          <w:p w:rsidR="00AD548C" w:rsidRPr="004D67C9" w:rsidRDefault="00AD548C" w:rsidP="006B4B67">
            <w:pPr>
              <w:pStyle w:val="ListParagraph"/>
              <w:spacing w:after="0" w:line="240" w:lineRule="auto"/>
              <w:ind w:left="313"/>
              <w:rPr>
                <w:rFonts w:cs="Calibri"/>
                <w:i/>
                <w:sz w:val="20"/>
                <w:szCs w:val="20"/>
                <w:lang w:val="en-US"/>
              </w:rPr>
            </w:pPr>
          </w:p>
          <w:p w:rsidR="00AD548C" w:rsidRPr="00546BEA" w:rsidRDefault="00AD548C" w:rsidP="00546BEA">
            <w:pPr>
              <w:spacing w:after="0" w:line="240" w:lineRule="auto"/>
              <w:rPr>
                <w:rFonts w:cs="Calibri"/>
                <w:i/>
                <w:sz w:val="20"/>
                <w:szCs w:val="20"/>
                <w:lang w:val="en-US"/>
              </w:rPr>
            </w:pPr>
          </w:p>
        </w:tc>
      </w:tr>
      <w:tr w:rsidR="00AD548C" w:rsidRPr="007679CF" w:rsidTr="006B4B67">
        <w:tc>
          <w:tcPr>
            <w:tcW w:w="7337" w:type="dxa"/>
          </w:tcPr>
          <w:p w:rsidR="00AD548C" w:rsidRPr="007679CF" w:rsidRDefault="00AD548C" w:rsidP="008331A7">
            <w:pPr>
              <w:rPr>
                <w:lang w:val="en-US"/>
              </w:rPr>
            </w:pPr>
            <w:r w:rsidRPr="007679CF">
              <w:rPr>
                <w:lang w:val="en-US"/>
              </w:rPr>
              <w:t>Sin embargo, los procedimientos investigan también poseen debilidades. Algunos sólo pueden entrar en funcionamiento si tienen una invitación de los Estados interesados ​​con el fin de llevar a cabo sus investigaciones. Además, los procedimientos de investigación son a menudo limitadas en términos de recursos y, a veces bajo la presión política seria de los Estados, así como de su órgano de tutela.</w:t>
            </w:r>
          </w:p>
        </w:tc>
        <w:tc>
          <w:tcPr>
            <w:tcW w:w="2552" w:type="dxa"/>
          </w:tcPr>
          <w:p w:rsidR="00AD548C" w:rsidRPr="004D67C9" w:rsidRDefault="00AD548C" w:rsidP="006B4B67">
            <w:pPr>
              <w:pStyle w:val="ListParagraph"/>
              <w:spacing w:after="0" w:line="240" w:lineRule="auto"/>
              <w:ind w:left="313"/>
              <w:rPr>
                <w:rFonts w:cs="Calibri"/>
                <w:i/>
                <w:sz w:val="20"/>
                <w:szCs w:val="20"/>
                <w:lang w:val="en-US"/>
              </w:rPr>
            </w:pPr>
          </w:p>
          <w:p w:rsidR="00AD548C" w:rsidRPr="004D67C9" w:rsidRDefault="00AD548C" w:rsidP="006B4B67">
            <w:pPr>
              <w:spacing w:after="0" w:line="240" w:lineRule="auto"/>
              <w:ind w:left="313" w:hanging="270"/>
              <w:rPr>
                <w:rFonts w:cs="Calibri"/>
                <w:i/>
                <w:sz w:val="20"/>
                <w:szCs w:val="20"/>
                <w:lang w:val="en-US"/>
              </w:rPr>
            </w:pPr>
          </w:p>
          <w:p w:rsidR="00AD548C" w:rsidRPr="004D67C9" w:rsidRDefault="00AD548C" w:rsidP="006B4B67">
            <w:pPr>
              <w:spacing w:after="0" w:line="240" w:lineRule="auto"/>
              <w:ind w:left="313" w:hanging="270"/>
              <w:rPr>
                <w:rFonts w:cs="Calibri"/>
                <w:i/>
                <w:sz w:val="20"/>
                <w:szCs w:val="20"/>
                <w:lang w:val="en-US"/>
              </w:rPr>
            </w:pPr>
          </w:p>
          <w:p w:rsidR="00AD548C" w:rsidRPr="004D67C9" w:rsidRDefault="00AD548C" w:rsidP="006B4B67">
            <w:pPr>
              <w:spacing w:after="0" w:line="240" w:lineRule="auto"/>
              <w:ind w:left="313" w:hanging="270"/>
              <w:rPr>
                <w:rFonts w:cs="Calibri"/>
                <w:i/>
                <w:sz w:val="20"/>
                <w:szCs w:val="20"/>
                <w:lang w:val="en-US"/>
              </w:rPr>
            </w:pPr>
          </w:p>
          <w:p w:rsidR="00AD548C" w:rsidRPr="004D67C9" w:rsidRDefault="00AD548C" w:rsidP="006B4B67">
            <w:pPr>
              <w:spacing w:after="0" w:line="240" w:lineRule="auto"/>
              <w:ind w:left="313" w:hanging="270"/>
              <w:rPr>
                <w:rFonts w:cs="Calibri"/>
                <w:i/>
                <w:sz w:val="20"/>
                <w:szCs w:val="20"/>
                <w:lang w:val="en-US"/>
              </w:rPr>
            </w:pPr>
          </w:p>
          <w:p w:rsidR="00AD548C" w:rsidRPr="004D67C9" w:rsidRDefault="00AD548C" w:rsidP="006B4B67">
            <w:pPr>
              <w:spacing w:after="0" w:line="240" w:lineRule="auto"/>
              <w:ind w:left="313" w:hanging="270"/>
              <w:rPr>
                <w:rFonts w:cs="Calibri"/>
                <w:i/>
                <w:sz w:val="20"/>
                <w:szCs w:val="20"/>
                <w:lang w:val="en-US"/>
              </w:rPr>
            </w:pPr>
          </w:p>
          <w:p w:rsidR="00AD548C" w:rsidRPr="004D67C9" w:rsidRDefault="00AD548C" w:rsidP="00F1047C">
            <w:pPr>
              <w:pStyle w:val="ListParagraph"/>
              <w:spacing w:after="0" w:line="240" w:lineRule="auto"/>
              <w:ind w:left="313"/>
              <w:rPr>
                <w:rFonts w:cs="Calibri"/>
                <w:i/>
                <w:sz w:val="20"/>
                <w:szCs w:val="20"/>
                <w:lang w:val="en-US"/>
              </w:rPr>
            </w:pPr>
          </w:p>
        </w:tc>
      </w:tr>
      <w:tr w:rsidR="00AD548C" w:rsidRPr="007679CF" w:rsidTr="006B4B67">
        <w:tc>
          <w:tcPr>
            <w:tcW w:w="7337" w:type="dxa"/>
          </w:tcPr>
          <w:p w:rsidR="00AD548C" w:rsidRPr="00994805" w:rsidRDefault="00AD548C" w:rsidP="008331A7">
            <w:r w:rsidRPr="002310CF">
              <w:rPr>
                <w:rFonts w:ascii="Cambria" w:hAnsi="Cambria"/>
                <w:b/>
                <w:bCs/>
                <w:color w:val="4F81BD"/>
                <w:sz w:val="26"/>
                <w:szCs w:val="26"/>
                <w:lang w:val="en-US"/>
              </w:rPr>
              <w:t xml:space="preserve">3.4 </w:t>
            </w:r>
            <w:r w:rsidRPr="00AD548C">
              <w:rPr>
                <w:rFonts w:ascii="Cambria" w:hAnsi="Cambria"/>
                <w:b/>
                <w:bCs/>
                <w:color w:val="4F81BD"/>
                <w:sz w:val="26"/>
                <w:szCs w:val="26"/>
                <w:lang w:val="en-US"/>
              </w:rPr>
              <w:t>Otros procedimientos internacionales</w:t>
            </w:r>
          </w:p>
        </w:tc>
        <w:tc>
          <w:tcPr>
            <w:tcW w:w="2552" w:type="dxa"/>
          </w:tcPr>
          <w:p w:rsidR="00AD548C" w:rsidRDefault="002310CF" w:rsidP="002310CF">
            <w:pPr>
              <w:pStyle w:val="ListParagraph"/>
              <w:spacing w:after="0" w:line="240" w:lineRule="auto"/>
              <w:ind w:left="0"/>
              <w:rPr>
                <w:rFonts w:cs="Calibri"/>
                <w:i/>
                <w:sz w:val="20"/>
                <w:szCs w:val="20"/>
                <w:lang w:val="en-US"/>
              </w:rPr>
            </w:pPr>
            <w:r w:rsidRPr="002310CF">
              <w:rPr>
                <w:rFonts w:cs="Calibri"/>
                <w:i/>
                <w:sz w:val="20"/>
                <w:szCs w:val="20"/>
                <w:lang w:val="en-US"/>
              </w:rPr>
              <w:t xml:space="preserve">Para más información sobre el TPIY, visite el sitio web </w:t>
            </w:r>
            <w:hyperlink r:id="rId29" w:history="1">
              <w:r w:rsidR="00AD548C" w:rsidRPr="003B7CF0">
                <w:rPr>
                  <w:rStyle w:val="Hyperlink"/>
                  <w:rFonts w:cs="Calibri"/>
                  <w:i/>
                  <w:sz w:val="20"/>
                  <w:szCs w:val="20"/>
                  <w:lang w:val="en-US"/>
                </w:rPr>
                <w:t>www.icty.org</w:t>
              </w:r>
            </w:hyperlink>
            <w:r w:rsidR="00AD548C">
              <w:rPr>
                <w:rFonts w:cs="Calibri"/>
                <w:i/>
                <w:sz w:val="20"/>
                <w:szCs w:val="20"/>
                <w:lang w:val="en-US"/>
              </w:rPr>
              <w:t xml:space="preserve"> </w:t>
            </w:r>
          </w:p>
          <w:p w:rsidR="00AD548C" w:rsidRDefault="00AD548C" w:rsidP="00DF7E34">
            <w:pPr>
              <w:pStyle w:val="ListParagraph"/>
              <w:spacing w:after="0" w:line="240" w:lineRule="auto"/>
              <w:ind w:left="318"/>
              <w:rPr>
                <w:rFonts w:cs="Calibri"/>
                <w:i/>
                <w:sz w:val="20"/>
                <w:szCs w:val="20"/>
                <w:lang w:val="en-US"/>
              </w:rPr>
            </w:pPr>
          </w:p>
          <w:p w:rsidR="00AD548C" w:rsidRPr="00DF7E34" w:rsidRDefault="002310CF" w:rsidP="002310CF">
            <w:pPr>
              <w:pStyle w:val="ListParagraph"/>
              <w:spacing w:after="0" w:line="240" w:lineRule="auto"/>
              <w:ind w:left="0"/>
              <w:rPr>
                <w:rFonts w:cs="Calibri"/>
                <w:i/>
                <w:sz w:val="20"/>
                <w:szCs w:val="20"/>
                <w:lang w:val="en-US"/>
              </w:rPr>
            </w:pPr>
            <w:r w:rsidRPr="002310CF">
              <w:rPr>
                <w:rFonts w:cs="Calibri"/>
                <w:i/>
                <w:sz w:val="20"/>
                <w:szCs w:val="20"/>
                <w:lang w:val="en-US"/>
              </w:rPr>
              <w:t>Visite el sitio web www.unictr.org para más información sobre el TPIR.</w:t>
            </w:r>
          </w:p>
        </w:tc>
      </w:tr>
      <w:tr w:rsidR="00AD548C" w:rsidRPr="007679CF" w:rsidTr="006B4B67">
        <w:tc>
          <w:tcPr>
            <w:tcW w:w="7337" w:type="dxa"/>
          </w:tcPr>
          <w:p w:rsidR="00AD548C" w:rsidRPr="007679CF" w:rsidRDefault="00AD548C" w:rsidP="008331A7">
            <w:pPr>
              <w:rPr>
                <w:lang w:val="en-US"/>
              </w:rPr>
            </w:pPr>
            <w:r w:rsidRPr="007679CF">
              <w:rPr>
                <w:lang w:val="en-US"/>
              </w:rPr>
              <w:t xml:space="preserve">Los procedimientos mencionados anteriormente se han diseñado en las últimas décadas para controlar las obligaciones de los Estados en materia de derechos humanos. Más recientemente, en los últimos veinte años, una serie de novedades interesantes han tenido lugar para poner de relieve también la </w:t>
            </w:r>
            <w:r w:rsidRPr="007679CF">
              <w:rPr>
                <w:lang w:val="en-US"/>
              </w:rPr>
              <w:lastRenderedPageBreak/>
              <w:t>responsabilidad de las personas físicas en lo que respecta a estos derechos humanos. El mejor ejemplo en la lucha internacional contra las violaciónes de derechos humanos es la creación de dos tribunales internacionales ad-hoc, es decir, aquellos para la ex Yugoslavia (TPIY) y Ruanda (TPIR). Ambos pueden ser vistos como los predecesores de la Corte Penal Internacional (CPI).</w:t>
            </w:r>
          </w:p>
        </w:tc>
        <w:tc>
          <w:tcPr>
            <w:tcW w:w="2552" w:type="dxa"/>
          </w:tcPr>
          <w:p w:rsidR="00AD548C" w:rsidRDefault="00AD548C" w:rsidP="006B4B67">
            <w:pPr>
              <w:pStyle w:val="ListParagraph"/>
              <w:spacing w:after="0" w:line="240" w:lineRule="auto"/>
              <w:ind w:left="313"/>
              <w:rPr>
                <w:rFonts w:cs="Calibri"/>
                <w:i/>
                <w:sz w:val="20"/>
                <w:szCs w:val="20"/>
                <w:lang w:val="en-US"/>
              </w:rPr>
            </w:pPr>
          </w:p>
          <w:p w:rsidR="00AD548C" w:rsidRDefault="00AD548C" w:rsidP="002310CF">
            <w:pPr>
              <w:pStyle w:val="ListParagraph"/>
              <w:spacing w:after="0" w:line="240" w:lineRule="auto"/>
              <w:ind w:left="318"/>
              <w:rPr>
                <w:rFonts w:cs="Calibri"/>
                <w:i/>
                <w:sz w:val="20"/>
                <w:szCs w:val="20"/>
                <w:lang w:val="en-US"/>
              </w:rPr>
            </w:pPr>
          </w:p>
        </w:tc>
      </w:tr>
    </w:tbl>
    <w:p w:rsidR="0034169D" w:rsidRPr="004D67C9" w:rsidRDefault="0034169D">
      <w:pPr>
        <w:rPr>
          <w:lang w:val="en-US"/>
        </w:rPr>
      </w:pPr>
    </w:p>
    <w:sectPr w:rsidR="0034169D" w:rsidRPr="004D67C9" w:rsidSect="00685476">
      <w:footerReference w:type="default" r:id="rId30"/>
      <w:pgSz w:w="11906" w:h="16838"/>
      <w:pgMar w:top="1438" w:right="1134" w:bottom="17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56" w:rsidRDefault="00026F56" w:rsidP="004D67C9">
      <w:pPr>
        <w:spacing w:before="0" w:after="0" w:line="240" w:lineRule="auto"/>
      </w:pPr>
      <w:r>
        <w:separator/>
      </w:r>
    </w:p>
  </w:endnote>
  <w:endnote w:type="continuationSeparator" w:id="0">
    <w:p w:rsidR="00026F56" w:rsidRDefault="00026F56" w:rsidP="004D6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9D" w:rsidRPr="00573288" w:rsidRDefault="0034169D" w:rsidP="00DA02C6">
    <w:pPr>
      <w:pStyle w:val="Footer"/>
      <w:jc w:val="center"/>
      <w:rPr>
        <w:szCs w:val="20"/>
        <w:lang w:val="en-US"/>
      </w:rPr>
    </w:pPr>
    <w:r>
      <w:rPr>
        <w:szCs w:val="20"/>
        <w:lang w:val="en-US"/>
      </w:rPr>
      <w:t>page</w:t>
    </w:r>
    <w:r w:rsidRPr="00CE74BC">
      <w:rPr>
        <w:szCs w:val="20"/>
      </w:rPr>
      <w:t xml:space="preserve"> </w:t>
    </w:r>
    <w:r w:rsidRPr="00CE74BC">
      <w:rPr>
        <w:rStyle w:val="PageNumber"/>
        <w:szCs w:val="20"/>
      </w:rPr>
      <w:fldChar w:fldCharType="begin"/>
    </w:r>
    <w:r w:rsidRPr="00CE74BC">
      <w:rPr>
        <w:rStyle w:val="PageNumber"/>
        <w:szCs w:val="20"/>
      </w:rPr>
      <w:instrText xml:space="preserve"> PAGE </w:instrText>
    </w:r>
    <w:r w:rsidRPr="00CE74BC">
      <w:rPr>
        <w:rStyle w:val="PageNumber"/>
        <w:szCs w:val="20"/>
      </w:rPr>
      <w:fldChar w:fldCharType="separate"/>
    </w:r>
    <w:r>
      <w:rPr>
        <w:rStyle w:val="PageNumber"/>
        <w:noProof/>
        <w:szCs w:val="20"/>
      </w:rPr>
      <w:t>2</w:t>
    </w:r>
    <w:r w:rsidRPr="00CE74BC">
      <w:rPr>
        <w:rStyle w:val="PageNumber"/>
        <w:szCs w:val="20"/>
      </w:rPr>
      <w:fldChar w:fldCharType="end"/>
    </w:r>
    <w:r w:rsidRPr="00CE74BC">
      <w:rPr>
        <w:rStyle w:val="PageNumber"/>
        <w:szCs w:val="20"/>
      </w:rPr>
      <w:t xml:space="preserve"> </w:t>
    </w:r>
    <w:r>
      <w:rPr>
        <w:rStyle w:val="PageNumber"/>
        <w:szCs w:val="20"/>
        <w:lang w:val="en-US"/>
      </w:rPr>
      <w:t>/</w:t>
    </w:r>
    <w:r w:rsidRPr="00CE74BC">
      <w:rPr>
        <w:rStyle w:val="PageNumber"/>
        <w:szCs w:val="20"/>
      </w:rPr>
      <w:t xml:space="preserve"> </w:t>
    </w:r>
    <w:r w:rsidRPr="00CE74BC">
      <w:rPr>
        <w:rStyle w:val="PageNumber"/>
        <w:szCs w:val="20"/>
      </w:rPr>
      <w:fldChar w:fldCharType="begin"/>
    </w:r>
    <w:r w:rsidRPr="00CE74BC">
      <w:rPr>
        <w:rStyle w:val="PageNumber"/>
        <w:szCs w:val="20"/>
      </w:rPr>
      <w:instrText xml:space="preserve"> NUMPAGES </w:instrText>
    </w:r>
    <w:r w:rsidRPr="00CE74BC">
      <w:rPr>
        <w:rStyle w:val="PageNumber"/>
        <w:szCs w:val="20"/>
      </w:rPr>
      <w:fldChar w:fldCharType="separate"/>
    </w:r>
    <w:r w:rsidR="007679CF">
      <w:rPr>
        <w:rStyle w:val="PageNumber"/>
        <w:noProof/>
        <w:szCs w:val="20"/>
      </w:rPr>
      <w:t>12</w:t>
    </w:r>
    <w:r w:rsidRPr="00CE74BC">
      <w:rPr>
        <w:rStyle w:val="PageNumber"/>
        <w:szCs w:val="20"/>
      </w:rPr>
      <w:fldChar w:fldCharType="end"/>
    </w:r>
  </w:p>
  <w:p w:rsidR="0034169D" w:rsidRDefault="00341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9D" w:rsidRDefault="0034169D" w:rsidP="001F336C">
    <w:pPr>
      <w:pStyle w:val="Footer"/>
      <w:jc w:val="center"/>
    </w:pPr>
    <w:r>
      <w:rPr>
        <w:lang w:val="en-US"/>
      </w:rPr>
      <w:t xml:space="preserve">page </w:t>
    </w:r>
    <w:r w:rsidRPr="00CE74BC">
      <w:rPr>
        <w:rStyle w:val="PageNumber"/>
        <w:szCs w:val="20"/>
      </w:rPr>
      <w:fldChar w:fldCharType="begin"/>
    </w:r>
    <w:r w:rsidRPr="00CE74BC">
      <w:rPr>
        <w:rStyle w:val="PageNumber"/>
        <w:szCs w:val="20"/>
      </w:rPr>
      <w:instrText xml:space="preserve"> PAGE </w:instrText>
    </w:r>
    <w:r w:rsidRPr="00CE74BC">
      <w:rPr>
        <w:rStyle w:val="PageNumber"/>
        <w:szCs w:val="20"/>
      </w:rPr>
      <w:fldChar w:fldCharType="separate"/>
    </w:r>
    <w:r w:rsidR="007679CF">
      <w:rPr>
        <w:rStyle w:val="PageNumber"/>
        <w:noProof/>
        <w:szCs w:val="20"/>
      </w:rPr>
      <w:t>2</w:t>
    </w:r>
    <w:r w:rsidRPr="00CE74BC">
      <w:rPr>
        <w:rStyle w:val="PageNumber"/>
        <w:szCs w:val="20"/>
      </w:rPr>
      <w:fldChar w:fldCharType="end"/>
    </w:r>
    <w:r w:rsidRPr="00CE74BC">
      <w:rPr>
        <w:rStyle w:val="PageNumber"/>
        <w:szCs w:val="20"/>
      </w:rPr>
      <w:t xml:space="preserve"> </w:t>
    </w:r>
    <w:r>
      <w:rPr>
        <w:rStyle w:val="PageNumber"/>
        <w:szCs w:val="20"/>
        <w:lang w:val="en-US"/>
      </w:rPr>
      <w:t>/</w:t>
    </w:r>
    <w:r w:rsidRPr="00CE74BC">
      <w:rPr>
        <w:rStyle w:val="PageNumber"/>
        <w:szCs w:val="20"/>
      </w:rPr>
      <w:t xml:space="preserve"> </w:t>
    </w:r>
    <w:r w:rsidRPr="00CE74BC">
      <w:rPr>
        <w:rStyle w:val="PageNumber"/>
        <w:szCs w:val="20"/>
      </w:rPr>
      <w:fldChar w:fldCharType="begin"/>
    </w:r>
    <w:r w:rsidRPr="00CE74BC">
      <w:rPr>
        <w:rStyle w:val="PageNumber"/>
        <w:szCs w:val="20"/>
      </w:rPr>
      <w:instrText xml:space="preserve"> NUMPAGES </w:instrText>
    </w:r>
    <w:r w:rsidRPr="00CE74BC">
      <w:rPr>
        <w:rStyle w:val="PageNumber"/>
        <w:szCs w:val="20"/>
      </w:rPr>
      <w:fldChar w:fldCharType="separate"/>
    </w:r>
    <w:r w:rsidR="007679CF">
      <w:rPr>
        <w:rStyle w:val="PageNumber"/>
        <w:noProof/>
        <w:szCs w:val="20"/>
      </w:rPr>
      <w:t>12</w:t>
    </w:r>
    <w:r w:rsidRPr="00CE74BC">
      <w:rPr>
        <w:rStyle w:val="PageNumber"/>
        <w:szCs w:val="20"/>
      </w:rPr>
      <w:fldChar w:fldCharType="end"/>
    </w:r>
  </w:p>
  <w:p w:rsidR="0034169D" w:rsidRDefault="0034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56" w:rsidRDefault="00026F56" w:rsidP="004D67C9">
      <w:pPr>
        <w:spacing w:before="0" w:after="0" w:line="240" w:lineRule="auto"/>
      </w:pPr>
      <w:r>
        <w:separator/>
      </w:r>
    </w:p>
  </w:footnote>
  <w:footnote w:type="continuationSeparator" w:id="0">
    <w:p w:rsidR="00026F56" w:rsidRDefault="00026F56" w:rsidP="004D67C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278B"/>
    <w:multiLevelType w:val="hybridMultilevel"/>
    <w:tmpl w:val="9F90D8D4"/>
    <w:lvl w:ilvl="0" w:tplc="72F6A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51014"/>
    <w:multiLevelType w:val="hybridMultilevel"/>
    <w:tmpl w:val="E1088FE8"/>
    <w:lvl w:ilvl="0" w:tplc="72F6A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B5B0E"/>
    <w:multiLevelType w:val="hybridMultilevel"/>
    <w:tmpl w:val="8A9C1A8E"/>
    <w:lvl w:ilvl="0" w:tplc="72F6AA70">
      <w:start w:val="1"/>
      <w:numFmt w:val="bullet"/>
      <w:lvlText w:val="»"/>
      <w:lvlJc w:val="left"/>
      <w:pPr>
        <w:ind w:left="1123" w:hanging="360"/>
      </w:pPr>
      <w:rPr>
        <w:rFonts w:ascii="Calibri" w:hAnsi="Calibri" w:hint="default"/>
      </w:rPr>
    </w:lvl>
    <w:lvl w:ilvl="1" w:tplc="0C070003">
      <w:start w:val="1"/>
      <w:numFmt w:val="bullet"/>
      <w:lvlText w:val="o"/>
      <w:lvlJc w:val="left"/>
      <w:pPr>
        <w:ind w:left="1843" w:hanging="360"/>
      </w:pPr>
      <w:rPr>
        <w:rFonts w:ascii="Courier New" w:hAnsi="Courier New" w:hint="default"/>
      </w:rPr>
    </w:lvl>
    <w:lvl w:ilvl="2" w:tplc="0C070005" w:tentative="1">
      <w:start w:val="1"/>
      <w:numFmt w:val="bullet"/>
      <w:lvlText w:val=""/>
      <w:lvlJc w:val="left"/>
      <w:pPr>
        <w:ind w:left="2563" w:hanging="360"/>
      </w:pPr>
      <w:rPr>
        <w:rFonts w:ascii="Wingdings" w:hAnsi="Wingdings" w:hint="default"/>
      </w:rPr>
    </w:lvl>
    <w:lvl w:ilvl="3" w:tplc="0C070001" w:tentative="1">
      <w:start w:val="1"/>
      <w:numFmt w:val="bullet"/>
      <w:lvlText w:val=""/>
      <w:lvlJc w:val="left"/>
      <w:pPr>
        <w:ind w:left="3283" w:hanging="360"/>
      </w:pPr>
      <w:rPr>
        <w:rFonts w:ascii="Symbol" w:hAnsi="Symbol" w:hint="default"/>
      </w:rPr>
    </w:lvl>
    <w:lvl w:ilvl="4" w:tplc="0C070003" w:tentative="1">
      <w:start w:val="1"/>
      <w:numFmt w:val="bullet"/>
      <w:lvlText w:val="o"/>
      <w:lvlJc w:val="left"/>
      <w:pPr>
        <w:ind w:left="4003" w:hanging="360"/>
      </w:pPr>
      <w:rPr>
        <w:rFonts w:ascii="Courier New" w:hAnsi="Courier New" w:hint="default"/>
      </w:rPr>
    </w:lvl>
    <w:lvl w:ilvl="5" w:tplc="0C070005" w:tentative="1">
      <w:start w:val="1"/>
      <w:numFmt w:val="bullet"/>
      <w:lvlText w:val=""/>
      <w:lvlJc w:val="left"/>
      <w:pPr>
        <w:ind w:left="4723" w:hanging="360"/>
      </w:pPr>
      <w:rPr>
        <w:rFonts w:ascii="Wingdings" w:hAnsi="Wingdings" w:hint="default"/>
      </w:rPr>
    </w:lvl>
    <w:lvl w:ilvl="6" w:tplc="0C070001" w:tentative="1">
      <w:start w:val="1"/>
      <w:numFmt w:val="bullet"/>
      <w:lvlText w:val=""/>
      <w:lvlJc w:val="left"/>
      <w:pPr>
        <w:ind w:left="5443" w:hanging="360"/>
      </w:pPr>
      <w:rPr>
        <w:rFonts w:ascii="Symbol" w:hAnsi="Symbol" w:hint="default"/>
      </w:rPr>
    </w:lvl>
    <w:lvl w:ilvl="7" w:tplc="0C070003" w:tentative="1">
      <w:start w:val="1"/>
      <w:numFmt w:val="bullet"/>
      <w:lvlText w:val="o"/>
      <w:lvlJc w:val="left"/>
      <w:pPr>
        <w:ind w:left="6163" w:hanging="360"/>
      </w:pPr>
      <w:rPr>
        <w:rFonts w:ascii="Courier New" w:hAnsi="Courier New" w:hint="default"/>
      </w:rPr>
    </w:lvl>
    <w:lvl w:ilvl="8" w:tplc="0C070005" w:tentative="1">
      <w:start w:val="1"/>
      <w:numFmt w:val="bullet"/>
      <w:lvlText w:val=""/>
      <w:lvlJc w:val="left"/>
      <w:pPr>
        <w:ind w:left="6883" w:hanging="360"/>
      </w:pPr>
      <w:rPr>
        <w:rFonts w:ascii="Wingdings" w:hAnsi="Wingdings" w:hint="default"/>
      </w:rPr>
    </w:lvl>
  </w:abstractNum>
  <w:abstractNum w:abstractNumId="3">
    <w:nsid w:val="30F20020"/>
    <w:multiLevelType w:val="hybridMultilevel"/>
    <w:tmpl w:val="E9F02446"/>
    <w:lvl w:ilvl="0" w:tplc="918C12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2511F6"/>
    <w:multiLevelType w:val="hybridMultilevel"/>
    <w:tmpl w:val="812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E1ED0"/>
    <w:multiLevelType w:val="hybridMultilevel"/>
    <w:tmpl w:val="80FA9F1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BF6036"/>
    <w:multiLevelType w:val="hybridMultilevel"/>
    <w:tmpl w:val="607A9D46"/>
    <w:lvl w:ilvl="0" w:tplc="72F6AA70">
      <w:start w:val="1"/>
      <w:numFmt w:val="bullet"/>
      <w:lvlText w:val="»"/>
      <w:lvlJc w:val="left"/>
      <w:pPr>
        <w:ind w:left="780" w:hanging="360"/>
      </w:pPr>
      <w:rPr>
        <w:rFonts w:ascii="Calibri" w:hAnsi="Calibr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A5A792D"/>
    <w:multiLevelType w:val="hybridMultilevel"/>
    <w:tmpl w:val="23FAA17C"/>
    <w:lvl w:ilvl="0" w:tplc="72F6AA7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B2817"/>
    <w:multiLevelType w:val="hybridMultilevel"/>
    <w:tmpl w:val="715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63D"/>
    <w:multiLevelType w:val="hybridMultilevel"/>
    <w:tmpl w:val="E1EA8C1C"/>
    <w:lvl w:ilvl="0" w:tplc="A1A4777E">
      <w:start w:val="1"/>
      <w:numFmt w:val="bullet"/>
      <w:lvlText w:val="»"/>
      <w:lvlJc w:val="left"/>
      <w:pPr>
        <w:ind w:left="1033" w:hanging="360"/>
      </w:pPr>
      <w:rPr>
        <w:rFonts w:ascii="Calibri" w:hAnsi="Calibri" w:hint="default"/>
      </w:rPr>
    </w:lvl>
    <w:lvl w:ilvl="1" w:tplc="04090003" w:tentative="1">
      <w:start w:val="1"/>
      <w:numFmt w:val="bullet"/>
      <w:lvlText w:val="o"/>
      <w:lvlJc w:val="left"/>
      <w:pPr>
        <w:ind w:left="1753" w:hanging="360"/>
      </w:pPr>
      <w:rPr>
        <w:rFonts w:ascii="Courier New" w:hAnsi="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hint="default"/>
      </w:rPr>
    </w:lvl>
    <w:lvl w:ilvl="8" w:tplc="04090005" w:tentative="1">
      <w:start w:val="1"/>
      <w:numFmt w:val="bullet"/>
      <w:lvlText w:val=""/>
      <w:lvlJc w:val="left"/>
      <w:pPr>
        <w:ind w:left="6793"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8"/>
  </w:num>
  <w:num w:numId="6">
    <w:abstractNumId w:val="4"/>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C9"/>
    <w:rsid w:val="00025B2A"/>
    <w:rsid w:val="00026F56"/>
    <w:rsid w:val="000364B9"/>
    <w:rsid w:val="0004736A"/>
    <w:rsid w:val="000569C0"/>
    <w:rsid w:val="000611F9"/>
    <w:rsid w:val="000A3099"/>
    <w:rsid w:val="000D2B3B"/>
    <w:rsid w:val="0013597B"/>
    <w:rsid w:val="00157F26"/>
    <w:rsid w:val="00161483"/>
    <w:rsid w:val="00190B32"/>
    <w:rsid w:val="001C6F2C"/>
    <w:rsid w:val="001F336C"/>
    <w:rsid w:val="002310CF"/>
    <w:rsid w:val="002900D7"/>
    <w:rsid w:val="002A3956"/>
    <w:rsid w:val="002A4A29"/>
    <w:rsid w:val="002F619C"/>
    <w:rsid w:val="0034169D"/>
    <w:rsid w:val="00361098"/>
    <w:rsid w:val="0036132A"/>
    <w:rsid w:val="003644A7"/>
    <w:rsid w:val="00396709"/>
    <w:rsid w:val="003B7CF0"/>
    <w:rsid w:val="003C2028"/>
    <w:rsid w:val="00401B14"/>
    <w:rsid w:val="0044770D"/>
    <w:rsid w:val="004644C5"/>
    <w:rsid w:val="004A4282"/>
    <w:rsid w:val="004D1CE6"/>
    <w:rsid w:val="004D67C9"/>
    <w:rsid w:val="005062CF"/>
    <w:rsid w:val="00527594"/>
    <w:rsid w:val="00546BEA"/>
    <w:rsid w:val="00573288"/>
    <w:rsid w:val="005816B9"/>
    <w:rsid w:val="005A6499"/>
    <w:rsid w:val="005D5C93"/>
    <w:rsid w:val="00615367"/>
    <w:rsid w:val="00624D24"/>
    <w:rsid w:val="00634CBC"/>
    <w:rsid w:val="00642339"/>
    <w:rsid w:val="00656624"/>
    <w:rsid w:val="00661AF5"/>
    <w:rsid w:val="00685476"/>
    <w:rsid w:val="006B4B67"/>
    <w:rsid w:val="006B794B"/>
    <w:rsid w:val="006E0E91"/>
    <w:rsid w:val="006E686D"/>
    <w:rsid w:val="006F3C63"/>
    <w:rsid w:val="006F6E7D"/>
    <w:rsid w:val="007152CB"/>
    <w:rsid w:val="00753DDD"/>
    <w:rsid w:val="00761F91"/>
    <w:rsid w:val="007679CF"/>
    <w:rsid w:val="00786F17"/>
    <w:rsid w:val="007B0056"/>
    <w:rsid w:val="007D1DD3"/>
    <w:rsid w:val="0081422E"/>
    <w:rsid w:val="0085795F"/>
    <w:rsid w:val="00862ACC"/>
    <w:rsid w:val="008E257D"/>
    <w:rsid w:val="008F32CB"/>
    <w:rsid w:val="00937AC1"/>
    <w:rsid w:val="0094019F"/>
    <w:rsid w:val="00981628"/>
    <w:rsid w:val="009970D5"/>
    <w:rsid w:val="009C4FE0"/>
    <w:rsid w:val="009F29B8"/>
    <w:rsid w:val="00A712C5"/>
    <w:rsid w:val="00A93813"/>
    <w:rsid w:val="00AD548C"/>
    <w:rsid w:val="00B107A2"/>
    <w:rsid w:val="00B42032"/>
    <w:rsid w:val="00BE1A1E"/>
    <w:rsid w:val="00BF539E"/>
    <w:rsid w:val="00C41E4A"/>
    <w:rsid w:val="00C702EA"/>
    <w:rsid w:val="00C975EC"/>
    <w:rsid w:val="00CB3F05"/>
    <w:rsid w:val="00CE5429"/>
    <w:rsid w:val="00CE74BC"/>
    <w:rsid w:val="00D03975"/>
    <w:rsid w:val="00D66FAF"/>
    <w:rsid w:val="00D76008"/>
    <w:rsid w:val="00DA02C6"/>
    <w:rsid w:val="00DA29FF"/>
    <w:rsid w:val="00DB0E87"/>
    <w:rsid w:val="00DE42AE"/>
    <w:rsid w:val="00DF7E34"/>
    <w:rsid w:val="00E11154"/>
    <w:rsid w:val="00E2291D"/>
    <w:rsid w:val="00E26DFE"/>
    <w:rsid w:val="00E44D6B"/>
    <w:rsid w:val="00E64E14"/>
    <w:rsid w:val="00EA4DEA"/>
    <w:rsid w:val="00EE24BF"/>
    <w:rsid w:val="00EE2926"/>
    <w:rsid w:val="00EE6F6F"/>
    <w:rsid w:val="00EE7239"/>
    <w:rsid w:val="00EE7B0B"/>
    <w:rsid w:val="00F1047C"/>
    <w:rsid w:val="00F11535"/>
    <w:rsid w:val="00FB58E5"/>
    <w:rsid w:val="00FC1388"/>
    <w:rsid w:val="00FD36B6"/>
    <w:rsid w:val="00FE5DDF"/>
    <w:rsid w:val="00FF09F7"/>
    <w:rsid w:val="00F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A35C55-BC14-43CE-92E4-95F7DB2A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C9"/>
    <w:pPr>
      <w:spacing w:before="120" w:after="120" w:line="360" w:lineRule="auto"/>
    </w:pPr>
    <w:rPr>
      <w:rFonts w:eastAsia="Times New Roman"/>
      <w:szCs w:val="24"/>
      <w:lang w:val="el-GR" w:eastAsia="el-GR"/>
    </w:rPr>
  </w:style>
  <w:style w:type="paragraph" w:styleId="Heading1">
    <w:name w:val="heading 1"/>
    <w:basedOn w:val="Normal"/>
    <w:next w:val="Normal"/>
    <w:link w:val="Heading1Char"/>
    <w:uiPriority w:val="99"/>
    <w:qFormat/>
    <w:rsid w:val="004D67C9"/>
    <w:pPr>
      <w:keepNext/>
      <w:spacing w:before="240" w:after="60" w:line="276" w:lineRule="auto"/>
      <w:outlineLvl w:val="0"/>
    </w:pPr>
    <w:rPr>
      <w:rFonts w:ascii="Cambria" w:hAnsi="Cambria"/>
      <w:b/>
      <w:bCs/>
      <w:kern w:val="32"/>
      <w:sz w:val="32"/>
      <w:szCs w:val="32"/>
      <w:lang w:val="de-DE" w:eastAsia="en-US"/>
    </w:rPr>
  </w:style>
  <w:style w:type="paragraph" w:styleId="Heading2">
    <w:name w:val="heading 2"/>
    <w:basedOn w:val="Normal"/>
    <w:next w:val="Normal"/>
    <w:link w:val="Heading2Char"/>
    <w:uiPriority w:val="99"/>
    <w:qFormat/>
    <w:rsid w:val="00F1047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67C9"/>
    <w:rPr>
      <w:rFonts w:ascii="Cambria" w:hAnsi="Cambria" w:cs="Times New Roman"/>
      <w:b/>
      <w:bCs/>
      <w:kern w:val="32"/>
      <w:sz w:val="32"/>
      <w:szCs w:val="32"/>
      <w:lang w:val="de-DE"/>
    </w:rPr>
  </w:style>
  <w:style w:type="character" w:customStyle="1" w:styleId="Heading2Char">
    <w:name w:val="Heading 2 Char"/>
    <w:basedOn w:val="DefaultParagraphFont"/>
    <w:link w:val="Heading2"/>
    <w:uiPriority w:val="99"/>
    <w:locked/>
    <w:rsid w:val="00F1047C"/>
    <w:rPr>
      <w:rFonts w:ascii="Cambria" w:hAnsi="Cambria" w:cs="Times New Roman"/>
      <w:b/>
      <w:bCs/>
      <w:color w:val="4F81BD"/>
      <w:sz w:val="26"/>
      <w:szCs w:val="26"/>
      <w:lang w:eastAsia="el-GR"/>
    </w:rPr>
  </w:style>
  <w:style w:type="paragraph" w:styleId="Footer">
    <w:name w:val="footer"/>
    <w:basedOn w:val="Normal"/>
    <w:link w:val="FooterChar"/>
    <w:uiPriority w:val="99"/>
    <w:rsid w:val="004D67C9"/>
    <w:pPr>
      <w:tabs>
        <w:tab w:val="center" w:pos="4153"/>
        <w:tab w:val="right" w:pos="8306"/>
      </w:tabs>
    </w:pPr>
  </w:style>
  <w:style w:type="character" w:customStyle="1" w:styleId="FooterChar">
    <w:name w:val="Footer Char"/>
    <w:basedOn w:val="DefaultParagraphFont"/>
    <w:link w:val="Footer"/>
    <w:uiPriority w:val="99"/>
    <w:locked/>
    <w:rsid w:val="004D67C9"/>
    <w:rPr>
      <w:rFonts w:ascii="Calibri" w:hAnsi="Calibri" w:cs="Times New Roman"/>
      <w:sz w:val="24"/>
      <w:szCs w:val="24"/>
      <w:lang w:eastAsia="el-GR"/>
    </w:rPr>
  </w:style>
  <w:style w:type="character" w:styleId="PageNumber">
    <w:name w:val="page number"/>
    <w:basedOn w:val="DefaultParagraphFont"/>
    <w:uiPriority w:val="99"/>
    <w:rsid w:val="004D67C9"/>
    <w:rPr>
      <w:rFonts w:cs="Times New Roman"/>
    </w:rPr>
  </w:style>
  <w:style w:type="table" w:styleId="TableGrid">
    <w:name w:val="Table Grid"/>
    <w:basedOn w:val="TableNormal"/>
    <w:uiPriority w:val="99"/>
    <w:rsid w:val="004D67C9"/>
    <w:rPr>
      <w:rFonts w:ascii="Times New Roman" w:eastAsia="Times New Roman" w:hAnsi="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itle">
    <w:name w:val="Main Title"/>
    <w:basedOn w:val="Normal"/>
    <w:uiPriority w:val="99"/>
    <w:rsid w:val="004D67C9"/>
    <w:pPr>
      <w:spacing w:line="240" w:lineRule="auto"/>
      <w:jc w:val="center"/>
    </w:pPr>
    <w:rPr>
      <w:rFonts w:ascii="Garamond" w:hAnsi="Garamond"/>
      <w:b/>
      <w:color w:val="404040"/>
      <w:spacing w:val="40"/>
      <w:sz w:val="40"/>
      <w:u w:color="D9D9D9"/>
    </w:rPr>
  </w:style>
  <w:style w:type="character" w:styleId="Hyperlink">
    <w:name w:val="Hyperlink"/>
    <w:basedOn w:val="DefaultParagraphFont"/>
    <w:uiPriority w:val="99"/>
    <w:rsid w:val="004D67C9"/>
    <w:rPr>
      <w:rFonts w:cs="Times New Roman"/>
      <w:color w:val="0000FF"/>
      <w:u w:val="single"/>
    </w:rPr>
  </w:style>
  <w:style w:type="paragraph" w:styleId="TOC1">
    <w:name w:val="toc 1"/>
    <w:basedOn w:val="Normal"/>
    <w:next w:val="Normal"/>
    <w:autoRedefine/>
    <w:uiPriority w:val="39"/>
    <w:rsid w:val="004D67C9"/>
    <w:rPr>
      <w:rFonts w:ascii="Tahoma" w:hAnsi="Tahoma"/>
      <w:b/>
      <w:bCs/>
      <w:color w:val="595959"/>
      <w:szCs w:val="20"/>
    </w:rPr>
  </w:style>
  <w:style w:type="paragraph" w:customStyle="1" w:styleId="StyleTitleTOC">
    <w:name w:val="Style Title TOC"/>
    <w:basedOn w:val="Normal"/>
    <w:uiPriority w:val="99"/>
    <w:rsid w:val="004D67C9"/>
    <w:pPr>
      <w:jc w:val="center"/>
    </w:pPr>
    <w:rPr>
      <w:b/>
    </w:rPr>
  </w:style>
  <w:style w:type="paragraph" w:styleId="BalloonText">
    <w:name w:val="Balloon Text"/>
    <w:basedOn w:val="Normal"/>
    <w:link w:val="BalloonTextChar"/>
    <w:uiPriority w:val="99"/>
    <w:semiHidden/>
    <w:rsid w:val="004D67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7C9"/>
    <w:rPr>
      <w:rFonts w:ascii="Tahoma" w:hAnsi="Tahoma" w:cs="Tahoma"/>
      <w:sz w:val="16"/>
      <w:szCs w:val="16"/>
      <w:lang w:eastAsia="el-GR"/>
    </w:rPr>
  </w:style>
  <w:style w:type="paragraph" w:styleId="BodyText">
    <w:name w:val="Body Text"/>
    <w:basedOn w:val="Normal"/>
    <w:link w:val="BodyTextChar"/>
    <w:uiPriority w:val="99"/>
    <w:rsid w:val="004D67C9"/>
    <w:pPr>
      <w:spacing w:before="0" w:line="276" w:lineRule="auto"/>
    </w:pPr>
    <w:rPr>
      <w:rFonts w:eastAsia="Calibri"/>
      <w:szCs w:val="22"/>
      <w:lang w:val="de-DE" w:eastAsia="en-US"/>
    </w:rPr>
  </w:style>
  <w:style w:type="character" w:customStyle="1" w:styleId="BodyTextChar">
    <w:name w:val="Body Text Char"/>
    <w:basedOn w:val="DefaultParagraphFont"/>
    <w:link w:val="BodyText"/>
    <w:uiPriority w:val="99"/>
    <w:locked/>
    <w:rsid w:val="004D67C9"/>
    <w:rPr>
      <w:rFonts w:ascii="Calibri" w:hAnsi="Calibri" w:cs="Times New Roman"/>
      <w:lang w:val="de-DE"/>
    </w:rPr>
  </w:style>
  <w:style w:type="paragraph" w:styleId="ListParagraph">
    <w:name w:val="List Paragraph"/>
    <w:basedOn w:val="Normal"/>
    <w:uiPriority w:val="99"/>
    <w:qFormat/>
    <w:rsid w:val="004D67C9"/>
    <w:pPr>
      <w:spacing w:before="0" w:after="200" w:line="276" w:lineRule="auto"/>
      <w:ind w:left="720"/>
      <w:contextualSpacing/>
    </w:pPr>
    <w:rPr>
      <w:rFonts w:eastAsia="Calibri"/>
      <w:szCs w:val="22"/>
      <w:lang w:val="de-DE" w:eastAsia="en-US"/>
    </w:rPr>
  </w:style>
  <w:style w:type="paragraph" w:styleId="FootnoteText">
    <w:name w:val="footnote text"/>
    <w:basedOn w:val="Normal"/>
    <w:link w:val="FootnoteTextChar"/>
    <w:uiPriority w:val="99"/>
    <w:semiHidden/>
    <w:rsid w:val="004D67C9"/>
    <w:pPr>
      <w:spacing w:before="0" w:after="0" w:line="240" w:lineRule="auto"/>
    </w:pPr>
    <w:rPr>
      <w:rFonts w:eastAsia="Calibri"/>
      <w:sz w:val="20"/>
      <w:szCs w:val="20"/>
      <w:lang w:val="de-DE" w:eastAsia="en-US"/>
    </w:rPr>
  </w:style>
  <w:style w:type="character" w:customStyle="1" w:styleId="FootnoteTextChar">
    <w:name w:val="Footnote Text Char"/>
    <w:basedOn w:val="DefaultParagraphFont"/>
    <w:link w:val="FootnoteText"/>
    <w:uiPriority w:val="99"/>
    <w:semiHidden/>
    <w:locked/>
    <w:rsid w:val="004D67C9"/>
    <w:rPr>
      <w:rFonts w:ascii="Calibri" w:hAnsi="Calibri" w:cs="Times New Roman"/>
      <w:sz w:val="20"/>
      <w:szCs w:val="20"/>
      <w:lang w:val="de-DE"/>
    </w:rPr>
  </w:style>
  <w:style w:type="character" w:styleId="FootnoteReference">
    <w:name w:val="footnote reference"/>
    <w:basedOn w:val="DefaultParagraphFont"/>
    <w:uiPriority w:val="99"/>
    <w:semiHidden/>
    <w:rsid w:val="004D67C9"/>
    <w:rPr>
      <w:rFonts w:cs="Times New Roman"/>
      <w:vertAlign w:val="superscript"/>
    </w:rPr>
  </w:style>
  <w:style w:type="paragraph" w:styleId="Quote">
    <w:name w:val="Quote"/>
    <w:basedOn w:val="Normal"/>
    <w:next w:val="Normal"/>
    <w:link w:val="QuoteChar"/>
    <w:uiPriority w:val="99"/>
    <w:qFormat/>
    <w:rsid w:val="004D67C9"/>
    <w:pPr>
      <w:spacing w:before="0" w:after="200" w:line="276" w:lineRule="auto"/>
    </w:pPr>
    <w:rPr>
      <w:rFonts w:eastAsia="Calibri"/>
      <w:i/>
      <w:iCs/>
      <w:color w:val="000000"/>
      <w:szCs w:val="22"/>
      <w:lang w:val="en-GB" w:eastAsia="en-US"/>
    </w:rPr>
  </w:style>
  <w:style w:type="character" w:customStyle="1" w:styleId="QuoteChar">
    <w:name w:val="Quote Char"/>
    <w:basedOn w:val="DefaultParagraphFont"/>
    <w:link w:val="Quote"/>
    <w:uiPriority w:val="99"/>
    <w:locked/>
    <w:rsid w:val="004D67C9"/>
    <w:rPr>
      <w:rFonts w:ascii="Calibri" w:hAnsi="Calibri" w:cs="Times New Roman"/>
      <w:i/>
      <w:iCs/>
      <w:color w:val="000000"/>
      <w:lang w:val="en-GB"/>
    </w:rPr>
  </w:style>
  <w:style w:type="character" w:styleId="Emphasis">
    <w:name w:val="Emphasis"/>
    <w:basedOn w:val="DefaultParagraphFont"/>
    <w:uiPriority w:val="99"/>
    <w:qFormat/>
    <w:rsid w:val="004D67C9"/>
    <w:rPr>
      <w:rFonts w:cs="Times New Roman"/>
      <w:i/>
      <w:iCs/>
    </w:rPr>
  </w:style>
  <w:style w:type="character" w:customStyle="1" w:styleId="apple-converted-space">
    <w:name w:val="apple-converted-space"/>
    <w:basedOn w:val="DefaultParagraphFont"/>
    <w:uiPriority w:val="99"/>
    <w:rsid w:val="004D67C9"/>
    <w:rPr>
      <w:rFonts w:cs="Times New Roman"/>
    </w:rPr>
  </w:style>
  <w:style w:type="paragraph" w:styleId="TOC2">
    <w:name w:val="toc 2"/>
    <w:basedOn w:val="Normal"/>
    <w:next w:val="Normal"/>
    <w:autoRedefine/>
    <w:uiPriority w:val="39"/>
    <w:rsid w:val="00546BEA"/>
    <w:pPr>
      <w:spacing w:after="100"/>
      <w:ind w:left="220"/>
    </w:pPr>
  </w:style>
  <w:style w:type="character" w:styleId="FollowedHyperlink">
    <w:name w:val="FollowedHyperlink"/>
    <w:basedOn w:val="DefaultParagraphFont"/>
    <w:uiPriority w:val="99"/>
    <w:semiHidden/>
    <w:rsid w:val="00DB0E87"/>
    <w:rPr>
      <w:rFonts w:cs="Times New Roman"/>
      <w:color w:val="800080"/>
      <w:u w:val="single"/>
    </w:rPr>
  </w:style>
  <w:style w:type="character" w:styleId="CommentReference">
    <w:name w:val="annotation reference"/>
    <w:basedOn w:val="DefaultParagraphFont"/>
    <w:uiPriority w:val="99"/>
    <w:semiHidden/>
    <w:rsid w:val="00D03975"/>
    <w:rPr>
      <w:rFonts w:cs="Times New Roman"/>
      <w:sz w:val="16"/>
      <w:szCs w:val="16"/>
    </w:rPr>
  </w:style>
  <w:style w:type="paragraph" w:styleId="CommentText">
    <w:name w:val="annotation text"/>
    <w:basedOn w:val="Normal"/>
    <w:link w:val="CommentTextChar"/>
    <w:uiPriority w:val="99"/>
    <w:semiHidden/>
    <w:rsid w:val="00D03975"/>
    <w:rPr>
      <w:sz w:val="20"/>
      <w:szCs w:val="20"/>
    </w:rPr>
  </w:style>
  <w:style w:type="character" w:customStyle="1" w:styleId="CommentTextChar">
    <w:name w:val="Comment Text Char"/>
    <w:basedOn w:val="DefaultParagraphFont"/>
    <w:link w:val="CommentText"/>
    <w:uiPriority w:val="99"/>
    <w:semiHidden/>
    <w:locked/>
    <w:rsid w:val="00615367"/>
    <w:rPr>
      <w:rFonts w:eastAsia="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rsid w:val="00D03975"/>
    <w:rPr>
      <w:b/>
      <w:bCs/>
    </w:rPr>
  </w:style>
  <w:style w:type="character" w:customStyle="1" w:styleId="CommentSubjectChar">
    <w:name w:val="Comment Subject Char"/>
    <w:basedOn w:val="CommentTextChar"/>
    <w:link w:val="CommentSubject"/>
    <w:uiPriority w:val="99"/>
    <w:semiHidden/>
    <w:locked/>
    <w:rsid w:val="00615367"/>
    <w:rPr>
      <w:rFonts w:eastAsia="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nc-nd/3.0/" TargetMode="External"/><Relationship Id="rId18" Type="http://schemas.openxmlformats.org/officeDocument/2006/relationships/image" Target="media/image3.jpeg"/><Relationship Id="rId26" Type="http://schemas.openxmlformats.org/officeDocument/2006/relationships/hyperlink" Target="http://www2.ohchr.org/english/law/ccpr-one.htm" TargetMode="External"/><Relationship Id="rId3" Type="http://schemas.openxmlformats.org/officeDocument/2006/relationships/settings" Target="settings.xml"/><Relationship Id="rId21" Type="http://schemas.openxmlformats.org/officeDocument/2006/relationships/hyperlink" Target="http://www2.ohchr.org/english/law/cescr.htm" TargetMode="External"/><Relationship Id="rId7" Type="http://schemas.openxmlformats.org/officeDocument/2006/relationships/image" Target="media/image1.png"/><Relationship Id="rId12" Type="http://schemas.openxmlformats.org/officeDocument/2006/relationships/hyperlink" Target="http://creativecommons.org/licenses/by-nc-nd/3.0/" TargetMode="External"/><Relationship Id="rId17" Type="http://schemas.openxmlformats.org/officeDocument/2006/relationships/image" Target="media/image2.png"/><Relationship Id="rId25" Type="http://schemas.openxmlformats.org/officeDocument/2006/relationships/hyperlink" Target="http://www2.ohchr.org/english/law/cerd.htm" TargetMode="External"/><Relationship Id="rId2" Type="http://schemas.openxmlformats.org/officeDocument/2006/relationships/styles" Target="styles.xml"/><Relationship Id="rId16" Type="http://schemas.openxmlformats.org/officeDocument/2006/relationships/hyperlink" Target="http://creativecommons.org/licenses/by-" TargetMode="External"/><Relationship Id="rId20" Type="http://schemas.openxmlformats.org/officeDocument/2006/relationships/hyperlink" Target="http://www2.ohchr.org/english/law/ccpr.htm" TargetMode="External"/><Relationship Id="rId29" Type="http://schemas.openxmlformats.org/officeDocument/2006/relationships/hyperlink" Target="http://www.ict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nd/3.0/" TargetMode="External"/><Relationship Id="rId24" Type="http://schemas.openxmlformats.org/officeDocument/2006/relationships/hyperlink" Target="http://www2.ohchr.org/english/law/crc.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reativecommons.org/licenses/by-nc-nd/3.0/" TargetMode="External"/><Relationship Id="rId23" Type="http://schemas.openxmlformats.org/officeDocument/2006/relationships/hyperlink" Target="http://www2.ohchr.org/english/law/cat.htm" TargetMode="External"/><Relationship Id="rId28" Type="http://schemas.openxmlformats.org/officeDocument/2006/relationships/hyperlink" Target="http://www.un.org/womenwatch/daw/cedaw/text/econvention.htm" TargetMode="External"/><Relationship Id="rId10" Type="http://schemas.openxmlformats.org/officeDocument/2006/relationships/hyperlink" Target="http://creativecommons.org/licenses/by-nc-nd/3.0/" TargetMode="External"/><Relationship Id="rId19" Type="http://schemas.openxmlformats.org/officeDocument/2006/relationships/hyperlink" Target="http://www2.ohchr.org/english/law/cerd.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nc-nd/3.0/" TargetMode="External"/><Relationship Id="rId14" Type="http://schemas.openxmlformats.org/officeDocument/2006/relationships/hyperlink" Target="http://creativecommons.org/licenses/by-nc-nd/3.0/" TargetMode="External"/><Relationship Id="rId22" Type="http://schemas.openxmlformats.org/officeDocument/2006/relationships/hyperlink" Target="http://www.un.org/womenwatch/daw/cedaw/text/econvention.htm" TargetMode="External"/><Relationship Id="rId27" Type="http://schemas.openxmlformats.org/officeDocument/2006/relationships/hyperlink" Target="http://www2.ohchr.org/english/law/cat.htm"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2503</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Stevy</dc:creator>
  <cp:lastModifiedBy>pantelis</cp:lastModifiedBy>
  <cp:revision>3</cp:revision>
  <cp:lastPrinted>2013-05-30T09:52:00Z</cp:lastPrinted>
  <dcterms:created xsi:type="dcterms:W3CDTF">2013-05-29T12:17:00Z</dcterms:created>
  <dcterms:modified xsi:type="dcterms:W3CDTF">2013-05-30T09:52:00Z</dcterms:modified>
</cp:coreProperties>
</file>